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5452199B"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WG1 Meeting </w:t>
      </w:r>
      <w:r w:rsidR="00122FA5">
        <w:rPr>
          <w:rFonts w:ascii="Arial" w:hAnsi="Arial" w:cs="Arial"/>
          <w:b/>
          <w:bCs/>
          <w:sz w:val="22"/>
        </w:rPr>
        <w:t>9</w:t>
      </w:r>
      <w:r w:rsidR="00AA2641">
        <w:rPr>
          <w:rFonts w:ascii="Arial" w:hAnsi="Arial" w:cs="Arial"/>
          <w:b/>
          <w:bCs/>
          <w:sz w:val="22"/>
        </w:rPr>
        <w:t>6</w:t>
      </w:r>
      <w:r w:rsidR="00BD3930">
        <w:rPr>
          <w:rFonts w:ascii="Arial" w:hAnsi="Arial" w:cs="Arial"/>
          <w:b/>
          <w:bCs/>
          <w:sz w:val="22"/>
        </w:rPr>
        <w:t>bis</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R1-1</w:t>
      </w:r>
      <w:r w:rsidR="00301430">
        <w:rPr>
          <w:rFonts w:ascii="Arial" w:hAnsi="Arial" w:cs="Arial"/>
          <w:b/>
          <w:bCs/>
          <w:sz w:val="22"/>
        </w:rPr>
        <w:t>9</w:t>
      </w:r>
      <w:r w:rsidR="00AA2641">
        <w:rPr>
          <w:rFonts w:ascii="Arial" w:hAnsi="Arial" w:cs="Arial"/>
          <w:b/>
          <w:bCs/>
          <w:sz w:val="22"/>
        </w:rPr>
        <w:t>0</w:t>
      </w:r>
      <w:r w:rsidR="00BD3930">
        <w:rPr>
          <w:rFonts w:ascii="Arial" w:hAnsi="Arial" w:cs="Arial"/>
          <w:b/>
          <w:bCs/>
          <w:sz w:val="22"/>
        </w:rPr>
        <w:t>4991</w:t>
      </w:r>
    </w:p>
    <w:p w14:paraId="0351D878" w14:textId="0D1D2C2F" w:rsidR="0066434B" w:rsidRPr="00341F45" w:rsidRDefault="00BD3930" w:rsidP="00341F45">
      <w:pPr>
        <w:tabs>
          <w:tab w:val="left" w:pos="1985"/>
          <w:tab w:val="right" w:pos="9422"/>
        </w:tabs>
        <w:spacing w:after="0"/>
        <w:jc w:val="both"/>
        <w:rPr>
          <w:rFonts w:ascii="Arial" w:hAnsi="Arial" w:cs="Arial"/>
          <w:b/>
          <w:bCs/>
          <w:sz w:val="22"/>
        </w:rPr>
      </w:pPr>
      <w:r>
        <w:rPr>
          <w:rFonts w:ascii="Arial" w:hAnsi="Arial" w:cs="Arial"/>
          <w:b/>
          <w:bCs/>
          <w:sz w:val="22"/>
        </w:rPr>
        <w:t>Xian</w:t>
      </w:r>
      <w:r w:rsidR="00341F45" w:rsidRPr="00A27B82">
        <w:rPr>
          <w:rFonts w:ascii="Arial" w:hAnsi="Arial" w:cs="Arial"/>
          <w:b/>
          <w:bCs/>
          <w:sz w:val="22"/>
        </w:rPr>
        <w:t xml:space="preserve">, </w:t>
      </w:r>
      <w:r>
        <w:rPr>
          <w:rFonts w:ascii="Arial" w:hAnsi="Arial" w:cs="Arial"/>
          <w:b/>
          <w:bCs/>
          <w:sz w:val="22"/>
        </w:rPr>
        <w:t>China</w:t>
      </w:r>
      <w:r w:rsidR="00341F45" w:rsidRPr="00A27B82">
        <w:rPr>
          <w:rFonts w:ascii="Arial" w:hAnsi="Arial" w:cs="Arial"/>
          <w:b/>
          <w:bCs/>
          <w:sz w:val="22"/>
        </w:rPr>
        <w:t xml:space="preserve">, </w:t>
      </w:r>
      <w:r>
        <w:rPr>
          <w:rFonts w:ascii="Arial" w:hAnsi="Arial" w:cs="Arial"/>
          <w:b/>
          <w:bCs/>
          <w:sz w:val="22"/>
        </w:rPr>
        <w:t>April</w:t>
      </w:r>
      <w:r w:rsidR="00341F45" w:rsidRPr="00A27B82">
        <w:rPr>
          <w:rFonts w:ascii="Arial" w:hAnsi="Arial" w:cs="Arial"/>
          <w:b/>
          <w:bCs/>
          <w:sz w:val="22"/>
        </w:rPr>
        <w:t xml:space="preserve"> </w:t>
      </w:r>
      <w:r>
        <w:rPr>
          <w:rFonts w:ascii="Arial" w:hAnsi="Arial" w:cs="Arial"/>
          <w:b/>
          <w:bCs/>
          <w:sz w:val="22"/>
        </w:rPr>
        <w:t>8</w:t>
      </w:r>
      <w:r w:rsidR="00763BD3" w:rsidRPr="00763BD3">
        <w:rPr>
          <w:rFonts w:ascii="Arial" w:hAnsi="Arial" w:cs="Arial"/>
          <w:b/>
          <w:bCs/>
          <w:sz w:val="22"/>
          <w:vertAlign w:val="superscript"/>
        </w:rPr>
        <w:t>th</w:t>
      </w:r>
      <w:r w:rsidR="00763BD3">
        <w:rPr>
          <w:rFonts w:ascii="Arial" w:hAnsi="Arial" w:cs="Arial"/>
          <w:b/>
          <w:bCs/>
          <w:sz w:val="22"/>
        </w:rPr>
        <w:t xml:space="preserve"> </w:t>
      </w:r>
      <w:r w:rsidR="00341F45" w:rsidRPr="00A27B82">
        <w:rPr>
          <w:rFonts w:ascii="Arial" w:hAnsi="Arial" w:cs="Arial"/>
          <w:b/>
          <w:bCs/>
          <w:sz w:val="22"/>
        </w:rPr>
        <w:t xml:space="preserve">– </w:t>
      </w:r>
      <w:r w:rsidR="00763BD3">
        <w:rPr>
          <w:rFonts w:ascii="Arial" w:hAnsi="Arial" w:cs="Arial"/>
          <w:b/>
          <w:bCs/>
          <w:sz w:val="22"/>
        </w:rPr>
        <w:t>1</w:t>
      </w:r>
      <w:r>
        <w:rPr>
          <w:rFonts w:ascii="Arial" w:hAnsi="Arial" w:cs="Arial"/>
          <w:b/>
          <w:bCs/>
          <w:sz w:val="22"/>
        </w:rPr>
        <w:t>2</w:t>
      </w:r>
      <w:r w:rsidRPr="00BD3930">
        <w:rPr>
          <w:rFonts w:ascii="Arial" w:hAnsi="Arial" w:cs="Arial"/>
          <w:b/>
          <w:bCs/>
          <w:sz w:val="22"/>
          <w:vertAlign w:val="superscript"/>
        </w:rPr>
        <w:t>th</w:t>
      </w:r>
      <w:r w:rsidR="00341F45" w:rsidRPr="00A27B82">
        <w:rPr>
          <w:rFonts w:ascii="Arial" w:hAnsi="Arial" w:cs="Arial"/>
          <w:b/>
          <w:bCs/>
          <w:sz w:val="22"/>
        </w:rPr>
        <w:t>, 201</w:t>
      </w:r>
      <w:r w:rsidR="00D36F2A">
        <w:rPr>
          <w:rFonts w:ascii="Arial" w:hAnsi="Arial" w:cs="Arial"/>
          <w:b/>
          <w:bCs/>
          <w:sz w:val="22"/>
        </w:rPr>
        <w:t>9</w:t>
      </w:r>
    </w:p>
    <w:p w14:paraId="333FEB56" w14:textId="77777777" w:rsidR="006C2AC8" w:rsidRDefault="006C2AC8" w:rsidP="00A77FDE">
      <w:pPr>
        <w:tabs>
          <w:tab w:val="left" w:pos="1985"/>
        </w:tabs>
        <w:jc w:val="both"/>
        <w:rPr>
          <w:rFonts w:ascii="Arial" w:hAnsi="Arial"/>
          <w:b/>
          <w:sz w:val="24"/>
        </w:rPr>
      </w:pPr>
    </w:p>
    <w:p w14:paraId="363403CE" w14:textId="25C952A8"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522F3">
        <w:rPr>
          <w:rFonts w:ascii="Arial" w:hAnsi="Arial"/>
          <w:sz w:val="22"/>
        </w:rPr>
        <w:t>7</w:t>
      </w:r>
      <w:r w:rsidR="00E56774">
        <w:rPr>
          <w:rFonts w:ascii="Arial" w:hAnsi="Arial"/>
          <w:sz w:val="22"/>
        </w:rPr>
        <w:t>.</w:t>
      </w:r>
      <w:r w:rsidR="00122FA5">
        <w:rPr>
          <w:rFonts w:ascii="Arial" w:hAnsi="Arial"/>
          <w:sz w:val="22"/>
        </w:rPr>
        <w:t>1.7</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225042B1"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A2641">
        <w:rPr>
          <w:rFonts w:ascii="Arial" w:hAnsi="Arial"/>
          <w:sz w:val="22"/>
        </w:rPr>
        <w:t>UE capabilities for NR-NR dual connectivity</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3E1530A6" w:rsidR="00902FEA" w:rsidRPr="00D53B2B" w:rsidRDefault="00D53B2B" w:rsidP="00D53B2B">
      <w:pPr>
        <w:pStyle w:val="Heading1"/>
        <w:rPr>
          <w:lang w:eastAsia="zh-CN"/>
        </w:rPr>
      </w:pPr>
      <w:r w:rsidRPr="00D53B2B">
        <w:t>Introduction</w:t>
      </w:r>
      <w:r w:rsidR="00D35A73" w:rsidRPr="00D53B2B">
        <w:rPr>
          <w:rFonts w:eastAsia="MS Mincho"/>
          <w:lang w:val="en-US"/>
        </w:rPr>
        <w:t xml:space="preserve"> </w:t>
      </w:r>
      <w:r w:rsidR="00902FEA" w:rsidRPr="00D53B2B">
        <w:rPr>
          <w:rFonts w:eastAsia="MS Mincho"/>
          <w:lang w:val="en-US"/>
        </w:rPr>
        <w:t xml:space="preserve"> </w:t>
      </w:r>
    </w:p>
    <w:p w14:paraId="4F6A413E" w14:textId="12952DD8" w:rsidR="00427587" w:rsidRPr="00D53B2B" w:rsidRDefault="003E517F" w:rsidP="001C19DF">
      <w:pPr>
        <w:spacing w:after="0"/>
        <w:rPr>
          <w:rFonts w:eastAsia="MS Mincho"/>
          <w:lang w:val="en-US"/>
        </w:rPr>
      </w:pPr>
      <w:r w:rsidRPr="00D53B2B">
        <w:rPr>
          <w:rFonts w:eastAsia="MS Mincho"/>
          <w:lang w:val="en-US"/>
        </w:rPr>
        <w:t xml:space="preserve">In </w:t>
      </w:r>
      <w:bookmarkStart w:id="2" w:name="_Hlk1115250"/>
      <w:r w:rsidRPr="00D53B2B">
        <w:rPr>
          <w:rFonts w:eastAsia="MS Mincho"/>
          <w:lang w:val="en-US"/>
        </w:rPr>
        <w:t>this document, we discuss propo</w:t>
      </w:r>
      <w:r w:rsidR="00AA2641" w:rsidRPr="00D53B2B">
        <w:rPr>
          <w:rFonts w:eastAsia="MS Mincho"/>
          <w:lang w:val="en-US"/>
        </w:rPr>
        <w:t>sed changes to support UE capability for NR-NR dual connectivity</w:t>
      </w:r>
      <w:r w:rsidR="00D53B2B" w:rsidRPr="00D53B2B">
        <w:rPr>
          <w:rFonts w:eastAsia="MS Mincho"/>
          <w:lang w:val="en-US"/>
        </w:rPr>
        <w:t xml:space="preserve">. Note that the principles agreed </w:t>
      </w:r>
      <w:bookmarkEnd w:id="2"/>
      <w:r w:rsidR="00D53B2B" w:rsidRPr="00D53B2B">
        <w:rPr>
          <w:rFonts w:eastAsia="MS Mincho"/>
          <w:lang w:val="en-US"/>
        </w:rPr>
        <w:t xml:space="preserve">should hold both for the Rel-15 and Rel-16 capability signaling. </w:t>
      </w:r>
    </w:p>
    <w:p w14:paraId="79343DB4" w14:textId="1CCA44E7" w:rsidR="00D761F2" w:rsidRPr="00D53B2B" w:rsidRDefault="00D761F2" w:rsidP="001C19DF">
      <w:pPr>
        <w:spacing w:after="0"/>
        <w:rPr>
          <w:rFonts w:eastAsia="MS Mincho"/>
          <w:lang w:val="en-US"/>
        </w:rPr>
      </w:pPr>
    </w:p>
    <w:p w14:paraId="0082B07E" w14:textId="77777777" w:rsidR="00427587" w:rsidRDefault="00D53B2B" w:rsidP="00427587">
      <w:pPr>
        <w:pStyle w:val="Heading1"/>
        <w:rPr>
          <w:lang w:eastAsia="zh-CN"/>
        </w:rPr>
      </w:pPr>
      <w:r w:rsidRPr="00D53B2B">
        <w:t>Discussion</w:t>
      </w:r>
    </w:p>
    <w:p w14:paraId="14B54F7E" w14:textId="6E1DC0EC" w:rsidR="00A169D1" w:rsidRDefault="00A169D1" w:rsidP="00A169D1">
      <w:pPr>
        <w:pStyle w:val="Heading2"/>
        <w:rPr>
          <w:lang w:val="en-US"/>
        </w:rPr>
      </w:pPr>
      <w:r>
        <w:rPr>
          <w:lang w:val="en-US"/>
        </w:rPr>
        <w:t>Indication of support of NR-NR DC capability</w:t>
      </w:r>
    </w:p>
    <w:p w14:paraId="505E1726" w14:textId="77777777" w:rsidR="00DF7132" w:rsidRDefault="00DF7132" w:rsidP="00D53B2B">
      <w:pPr>
        <w:spacing w:after="0"/>
        <w:rPr>
          <w:rFonts w:eastAsia="MS Mincho"/>
          <w:lang w:val="en-US"/>
        </w:rPr>
      </w:pPr>
    </w:p>
    <w:p w14:paraId="1FBF9ABA" w14:textId="647DFCF4" w:rsidR="00F46810" w:rsidRPr="00F46810" w:rsidRDefault="00F46810" w:rsidP="00D53B2B">
      <w:pPr>
        <w:spacing w:after="0"/>
        <w:rPr>
          <w:rFonts w:eastAsia="MS Mincho"/>
          <w:lang w:val="en-US"/>
        </w:rPr>
      </w:pPr>
      <w:r w:rsidRPr="00F46810">
        <w:rPr>
          <w:rFonts w:eastAsia="MS Mincho"/>
          <w:lang w:val="en-US"/>
        </w:rPr>
        <w:t xml:space="preserve">In general, there doesn’t seem to be a use case for NR-NR intra-band contiguous DC. Although an agreement on this might not need to be captured in the specification; an agreement is still useful, </w:t>
      </w:r>
      <w:proofErr w:type="gramStart"/>
      <w:r w:rsidRPr="00F46810">
        <w:rPr>
          <w:rFonts w:eastAsia="MS Mincho"/>
          <w:lang w:val="en-US"/>
        </w:rPr>
        <w:t>so as to</w:t>
      </w:r>
      <w:proofErr w:type="gramEnd"/>
      <w:r w:rsidRPr="00F46810">
        <w:rPr>
          <w:rFonts w:eastAsia="MS Mincho"/>
          <w:lang w:val="en-US"/>
        </w:rPr>
        <w:t xml:space="preserve"> avoid spending time on trying to solve the significant challenges associated with NR-NR intra-band contiguous DC. </w:t>
      </w:r>
    </w:p>
    <w:p w14:paraId="32E61BC6" w14:textId="3CA12FD8" w:rsidR="00F46810" w:rsidRPr="00F46810" w:rsidRDefault="00F46810" w:rsidP="00D53B2B">
      <w:pPr>
        <w:spacing w:after="0"/>
        <w:rPr>
          <w:rFonts w:eastAsia="MS Mincho"/>
          <w:lang w:val="en-US"/>
        </w:rPr>
      </w:pPr>
      <w:r w:rsidRPr="00F46810">
        <w:rPr>
          <w:rFonts w:eastAsia="MS Mincho"/>
          <w:lang w:val="en-US"/>
        </w:rPr>
        <w:t xml:space="preserve">We note that defining intra-band contiguous EN-DC was needed but its justification doesn’t extend to NR-NR DC. </w:t>
      </w:r>
    </w:p>
    <w:p w14:paraId="6382E0E3" w14:textId="77777777" w:rsidR="00A54222" w:rsidRDefault="00A54222" w:rsidP="00D53B2B">
      <w:pPr>
        <w:spacing w:after="0"/>
        <w:rPr>
          <w:rFonts w:eastAsia="MS Mincho"/>
          <w:b/>
          <w:lang w:val="en-US"/>
        </w:rPr>
      </w:pPr>
    </w:p>
    <w:p w14:paraId="0C3FCFF3" w14:textId="7C3F3C08" w:rsidR="00D53B2B" w:rsidRDefault="00D53B2B" w:rsidP="00D53B2B">
      <w:pPr>
        <w:spacing w:after="0"/>
        <w:rPr>
          <w:rFonts w:eastAsia="MS Mincho"/>
          <w:b/>
          <w:lang w:val="en-US"/>
        </w:rPr>
      </w:pPr>
      <w:r>
        <w:rPr>
          <w:rFonts w:eastAsia="MS Mincho"/>
          <w:b/>
          <w:lang w:val="en-US"/>
        </w:rPr>
        <w:t xml:space="preserve">Proposal </w:t>
      </w:r>
      <w:r w:rsidR="009D3E8F">
        <w:rPr>
          <w:rFonts w:eastAsia="MS Mincho"/>
          <w:b/>
          <w:lang w:val="en-US"/>
        </w:rPr>
        <w:t>1</w:t>
      </w:r>
      <w:r>
        <w:rPr>
          <w:rFonts w:eastAsia="MS Mincho"/>
          <w:b/>
          <w:lang w:val="en-US"/>
        </w:rPr>
        <w:t xml:space="preserve">: </w:t>
      </w:r>
    </w:p>
    <w:p w14:paraId="07195DCB" w14:textId="77777777" w:rsidR="00D53B2B" w:rsidRDefault="00D53B2B" w:rsidP="00D53B2B">
      <w:pPr>
        <w:spacing w:after="0"/>
        <w:rPr>
          <w:rFonts w:eastAsia="MS Mincho"/>
          <w:b/>
          <w:lang w:val="en-US"/>
        </w:rPr>
      </w:pPr>
      <w:r>
        <w:rPr>
          <w:rFonts w:eastAsia="MS Mincho"/>
          <w:b/>
          <w:lang w:val="en-US"/>
        </w:rPr>
        <w:t>No need to define support for NR-NR DC with intra-band contiguous CCs where some CCs are in MCG, some other CCs in the same band are in SCG.</w:t>
      </w:r>
    </w:p>
    <w:p w14:paraId="581160D2" w14:textId="77777777" w:rsidR="00A169D1" w:rsidRDefault="00A169D1" w:rsidP="00D53B2B">
      <w:pPr>
        <w:spacing w:after="0"/>
        <w:rPr>
          <w:rFonts w:eastAsia="MS Mincho"/>
          <w:lang w:val="en-US"/>
        </w:rPr>
      </w:pPr>
    </w:p>
    <w:p w14:paraId="29ECD5DE" w14:textId="77777777" w:rsidR="00A169D1" w:rsidRDefault="00A169D1" w:rsidP="00D53B2B">
      <w:pPr>
        <w:spacing w:after="0"/>
        <w:rPr>
          <w:rFonts w:eastAsia="MS Mincho"/>
          <w:lang w:val="en-US"/>
        </w:rPr>
      </w:pPr>
    </w:p>
    <w:p w14:paraId="67FF2F35" w14:textId="2DBC3FEB" w:rsidR="00A169D1" w:rsidRDefault="00F46810" w:rsidP="00D53B2B">
      <w:pPr>
        <w:spacing w:after="0"/>
        <w:rPr>
          <w:rFonts w:eastAsia="MS Mincho"/>
          <w:lang w:val="en-US"/>
        </w:rPr>
      </w:pPr>
      <w:r w:rsidRPr="00A169D1">
        <w:rPr>
          <w:rFonts w:eastAsia="MS Mincho"/>
          <w:lang w:val="en-US"/>
        </w:rPr>
        <w:t>NR-NR DC has both synchronous and asynchronous operating modes. Although the difference appears moderate given that even in synchronous DC, the slot and symbol boundaries are already not fully aligned</w:t>
      </w:r>
      <w:r w:rsidR="00A169D1">
        <w:rPr>
          <w:rFonts w:eastAsia="MS Mincho"/>
          <w:lang w:val="en-US"/>
        </w:rPr>
        <w:t xml:space="preserve"> </w:t>
      </w:r>
      <w:r w:rsidR="00A169D1" w:rsidRPr="00A169D1">
        <w:rPr>
          <w:rFonts w:eastAsia="MS Mincho"/>
          <w:lang w:val="en-US"/>
        </w:rPr>
        <w:t>when</w:t>
      </w:r>
      <w:r w:rsidR="00A169D1">
        <w:rPr>
          <w:rFonts w:eastAsia="MS Mincho"/>
          <w:lang w:val="en-US"/>
        </w:rPr>
        <w:t>ever</w:t>
      </w:r>
      <w:r w:rsidR="00A169D1" w:rsidRPr="00A169D1">
        <w:rPr>
          <w:rFonts w:eastAsia="MS Mincho"/>
          <w:lang w:val="en-US"/>
        </w:rPr>
        <w:t xml:space="preserve"> the SCS is different across cell groups</w:t>
      </w:r>
      <w:r w:rsidRPr="00A169D1">
        <w:rPr>
          <w:rFonts w:eastAsia="MS Mincho"/>
          <w:lang w:val="en-US"/>
        </w:rPr>
        <w:t>; it is still expected that fully asynchronous operation will require a different modem architecture where the different cell groups are processed in dedicate</w:t>
      </w:r>
      <w:r w:rsidR="00A169D1">
        <w:rPr>
          <w:rFonts w:eastAsia="MS Mincho"/>
          <w:lang w:val="en-US"/>
        </w:rPr>
        <w:t>d</w:t>
      </w:r>
      <w:r w:rsidRPr="00A169D1">
        <w:rPr>
          <w:rFonts w:eastAsia="MS Mincho"/>
          <w:lang w:val="en-US"/>
        </w:rPr>
        <w:t xml:space="preserve"> hardware blocks with </w:t>
      </w:r>
      <w:r w:rsidR="00A169D1" w:rsidRPr="00A169D1">
        <w:rPr>
          <w:rFonts w:eastAsia="MS Mincho"/>
          <w:lang w:val="en-US"/>
        </w:rPr>
        <w:t>limited or no possibility of hardware</w:t>
      </w:r>
      <w:r w:rsidR="00A169D1">
        <w:rPr>
          <w:rFonts w:eastAsia="MS Mincho"/>
          <w:lang w:val="en-US"/>
        </w:rPr>
        <w:t xml:space="preserve"> resource</w:t>
      </w:r>
      <w:r w:rsidR="00A169D1" w:rsidRPr="00A169D1">
        <w:rPr>
          <w:rFonts w:eastAsia="MS Mincho"/>
          <w:lang w:val="en-US"/>
        </w:rPr>
        <w:t xml:space="preserve"> reuse across the blocks. This is in contrast with synchronous DC, </w:t>
      </w:r>
      <w:r w:rsidR="00A169D1">
        <w:rPr>
          <w:rFonts w:eastAsia="MS Mincho"/>
          <w:lang w:val="en-US"/>
        </w:rPr>
        <w:t>which</w:t>
      </w:r>
      <w:r w:rsidR="00A169D1" w:rsidRPr="00A169D1">
        <w:rPr>
          <w:rFonts w:eastAsia="MS Mincho"/>
          <w:lang w:val="en-US"/>
        </w:rPr>
        <w:t xml:space="preserve"> can be supported with large degree of hardware resource reuse across the cell groups</w:t>
      </w:r>
      <w:r w:rsidR="00A169D1">
        <w:rPr>
          <w:rFonts w:eastAsia="MS Mincho"/>
          <w:lang w:val="en-US"/>
        </w:rPr>
        <w:t xml:space="preserve">, </w:t>
      </w:r>
      <w:proofErr w:type="gramStart"/>
      <w:r w:rsidR="00A169D1">
        <w:rPr>
          <w:rFonts w:eastAsia="MS Mincho"/>
          <w:lang w:val="en-US"/>
        </w:rPr>
        <w:t>similar to</w:t>
      </w:r>
      <w:proofErr w:type="gramEnd"/>
      <w:r w:rsidR="00A169D1">
        <w:rPr>
          <w:rFonts w:eastAsia="MS Mincho"/>
          <w:lang w:val="en-US"/>
        </w:rPr>
        <w:t xml:space="preserve"> CA</w:t>
      </w:r>
      <w:r w:rsidR="00A169D1" w:rsidRPr="00A169D1">
        <w:rPr>
          <w:rFonts w:eastAsia="MS Mincho"/>
          <w:lang w:val="en-US"/>
        </w:rPr>
        <w:t>.</w:t>
      </w:r>
      <w:r w:rsidR="00A169D1">
        <w:rPr>
          <w:rFonts w:eastAsia="MS Mincho"/>
          <w:lang w:val="en-US"/>
        </w:rPr>
        <w:t xml:space="preserve"> </w:t>
      </w:r>
    </w:p>
    <w:p w14:paraId="732FF748" w14:textId="7BCBD0E6" w:rsidR="00D53B2B" w:rsidRPr="00A169D1" w:rsidRDefault="00A169D1" w:rsidP="00D53B2B">
      <w:pPr>
        <w:spacing w:after="0"/>
        <w:rPr>
          <w:rFonts w:eastAsia="MS Mincho"/>
          <w:lang w:val="en-US"/>
        </w:rPr>
      </w:pPr>
      <w:r>
        <w:rPr>
          <w:rFonts w:eastAsia="MS Mincho"/>
          <w:lang w:val="en-US"/>
        </w:rPr>
        <w:t xml:space="preserve">Since the required hardware architecture is different, it would be highly beneficial to separately indicate sync an async DC support on a per band combination and cell group partitioning basis.  </w:t>
      </w:r>
      <w:r w:rsidRPr="00A169D1">
        <w:rPr>
          <w:rFonts w:eastAsia="MS Mincho"/>
          <w:lang w:val="en-US"/>
        </w:rPr>
        <w:t xml:space="preserve">  </w:t>
      </w:r>
    </w:p>
    <w:p w14:paraId="02A0217B" w14:textId="77777777" w:rsidR="00F46810" w:rsidRDefault="00F46810" w:rsidP="00D53B2B">
      <w:pPr>
        <w:spacing w:after="0"/>
        <w:rPr>
          <w:rFonts w:eastAsia="MS Mincho"/>
          <w:b/>
          <w:lang w:val="en-US"/>
        </w:rPr>
      </w:pPr>
    </w:p>
    <w:p w14:paraId="122E6A63" w14:textId="0BB7E72E" w:rsidR="00D53B2B" w:rsidRDefault="00D53B2B" w:rsidP="00D53B2B">
      <w:pPr>
        <w:spacing w:after="0"/>
        <w:rPr>
          <w:rFonts w:eastAsia="MS Mincho"/>
          <w:b/>
          <w:lang w:val="en-US"/>
        </w:rPr>
      </w:pPr>
      <w:r>
        <w:rPr>
          <w:rFonts w:eastAsia="MS Mincho"/>
          <w:b/>
          <w:lang w:val="en-US"/>
        </w:rPr>
        <w:t xml:space="preserve">Proposal </w:t>
      </w:r>
      <w:r w:rsidR="009D3E8F">
        <w:rPr>
          <w:rFonts w:eastAsia="MS Mincho"/>
          <w:b/>
          <w:lang w:val="en-US"/>
        </w:rPr>
        <w:t>2</w:t>
      </w:r>
      <w:r>
        <w:rPr>
          <w:rFonts w:eastAsia="MS Mincho"/>
          <w:b/>
          <w:lang w:val="en-US"/>
        </w:rPr>
        <w:t xml:space="preserve">: </w:t>
      </w:r>
    </w:p>
    <w:p w14:paraId="19B41ABB" w14:textId="6782D0F1" w:rsidR="00D53B2B" w:rsidRDefault="00D53B2B" w:rsidP="00D53B2B">
      <w:pPr>
        <w:spacing w:after="0"/>
        <w:rPr>
          <w:rFonts w:eastAsia="MS Mincho"/>
          <w:b/>
          <w:lang w:val="en-US"/>
        </w:rPr>
      </w:pPr>
      <w:r>
        <w:rPr>
          <w:rFonts w:eastAsia="MS Mincho"/>
          <w:b/>
          <w:lang w:val="en-US"/>
        </w:rPr>
        <w:t>There should be a differentiation between synchronous DC and asynchronous DC from the capability signaling perspective. The signaling should enable signaling support of synchronous DC and no support of asynchronous DC in the same band combination</w:t>
      </w:r>
      <w:r w:rsidR="00A169D1">
        <w:rPr>
          <w:rFonts w:eastAsia="MS Mincho"/>
          <w:b/>
          <w:lang w:val="en-US"/>
        </w:rPr>
        <w:t xml:space="preserve"> and cell group partitioning</w:t>
      </w:r>
      <w:r>
        <w:rPr>
          <w:rFonts w:eastAsia="MS Mincho"/>
          <w:b/>
          <w:lang w:val="en-US"/>
        </w:rPr>
        <w:t>.</w:t>
      </w:r>
    </w:p>
    <w:p w14:paraId="20968D89" w14:textId="4AC08E65" w:rsidR="00A169D1" w:rsidRDefault="00A169D1" w:rsidP="00D53B2B">
      <w:pPr>
        <w:spacing w:after="0"/>
        <w:rPr>
          <w:rFonts w:eastAsia="MS Mincho"/>
          <w:b/>
          <w:lang w:val="en-US"/>
        </w:rPr>
      </w:pPr>
    </w:p>
    <w:p w14:paraId="5823996C" w14:textId="69B70F98" w:rsidR="00A169D1" w:rsidRDefault="00A169D1" w:rsidP="00D53B2B">
      <w:pPr>
        <w:spacing w:after="0"/>
        <w:rPr>
          <w:rFonts w:eastAsia="MS Mincho"/>
          <w:b/>
          <w:lang w:val="en-US"/>
        </w:rPr>
      </w:pPr>
    </w:p>
    <w:p w14:paraId="2EDE2AEA" w14:textId="3B078791" w:rsidR="00A169D1" w:rsidRDefault="00A169D1" w:rsidP="00A169D1">
      <w:pPr>
        <w:pStyle w:val="Heading2"/>
        <w:rPr>
          <w:lang w:val="en-US"/>
        </w:rPr>
      </w:pPr>
      <w:r>
        <w:rPr>
          <w:lang w:val="en-US"/>
        </w:rPr>
        <w:t>Cell group dependent capabilities</w:t>
      </w:r>
    </w:p>
    <w:p w14:paraId="61235E07" w14:textId="2C71A826" w:rsidR="00B03EE8" w:rsidRPr="00B03EE8" w:rsidRDefault="00B03EE8" w:rsidP="00D53B2B">
      <w:pPr>
        <w:spacing w:after="0"/>
        <w:rPr>
          <w:rFonts w:eastAsia="MS Mincho"/>
          <w:lang w:val="en-US"/>
        </w:rPr>
      </w:pPr>
      <w:r w:rsidRPr="00B03EE8">
        <w:rPr>
          <w:rFonts w:eastAsia="MS Mincho"/>
          <w:lang w:val="en-US"/>
        </w:rPr>
        <w:t>The first order question is whether it is needed to have fully independent capabilities in the two cell groups in a DC band combination. This flexibility doesn’t seem to be necessary. Therefore</w:t>
      </w:r>
      <w:r>
        <w:rPr>
          <w:rFonts w:eastAsia="MS Mincho"/>
          <w:lang w:val="en-US"/>
        </w:rPr>
        <w:t>,</w:t>
      </w:r>
      <w:r w:rsidRPr="00B03EE8">
        <w:rPr>
          <w:rFonts w:eastAsia="MS Mincho"/>
          <w:lang w:val="en-US"/>
        </w:rPr>
        <w:t xml:space="preserve"> existing capabilities that are defined either per band or per UE, and capability components that are not defined as ‘across all CCs’ don’t need to be separately signaled </w:t>
      </w:r>
      <w:r>
        <w:rPr>
          <w:rFonts w:eastAsia="MS Mincho"/>
          <w:lang w:val="en-US"/>
        </w:rPr>
        <w:t>for each cell group</w:t>
      </w:r>
      <w:r w:rsidRPr="00B03EE8">
        <w:rPr>
          <w:rFonts w:eastAsia="MS Mincho"/>
          <w:lang w:val="en-US"/>
        </w:rPr>
        <w:t xml:space="preserve">. Of course, this agreement would not change the fact that all the capabilities that are FR1/FR2 </w:t>
      </w:r>
      <w:r>
        <w:rPr>
          <w:rFonts w:eastAsia="MS Mincho"/>
          <w:lang w:val="en-US"/>
        </w:rPr>
        <w:t xml:space="preserve">differentiated, for example, </w:t>
      </w:r>
      <w:r w:rsidRPr="00B03EE8">
        <w:rPr>
          <w:rFonts w:eastAsia="MS Mincho"/>
          <w:lang w:val="en-US"/>
        </w:rPr>
        <w:t>will already be effectively independent across cell groups in FR1+FR2 DC</w:t>
      </w:r>
      <w:r>
        <w:rPr>
          <w:rFonts w:eastAsia="MS Mincho"/>
          <w:lang w:val="en-US"/>
        </w:rPr>
        <w:t xml:space="preserve">. </w:t>
      </w:r>
    </w:p>
    <w:p w14:paraId="2D722557" w14:textId="59ECBC68" w:rsidR="00D53B2B" w:rsidRDefault="00D53B2B" w:rsidP="00D53B2B">
      <w:pPr>
        <w:spacing w:after="0"/>
        <w:rPr>
          <w:rFonts w:eastAsia="MS Mincho"/>
          <w:b/>
          <w:lang w:val="en-US"/>
        </w:rPr>
      </w:pPr>
    </w:p>
    <w:p w14:paraId="6A04D2FF" w14:textId="77777777" w:rsidR="00DF7132" w:rsidRDefault="00DF7132" w:rsidP="00D53B2B">
      <w:pPr>
        <w:spacing w:after="0"/>
        <w:rPr>
          <w:rFonts w:eastAsia="MS Mincho"/>
          <w:b/>
          <w:lang w:val="en-US"/>
        </w:rPr>
      </w:pPr>
    </w:p>
    <w:p w14:paraId="0F0F574C" w14:textId="2DE7E0A2" w:rsidR="00D53B2B" w:rsidRDefault="00D53B2B" w:rsidP="00D53B2B">
      <w:pPr>
        <w:spacing w:after="0"/>
        <w:rPr>
          <w:rFonts w:eastAsia="MS Mincho"/>
          <w:b/>
          <w:lang w:val="en-US"/>
        </w:rPr>
      </w:pPr>
      <w:r>
        <w:rPr>
          <w:rFonts w:eastAsia="MS Mincho"/>
          <w:b/>
          <w:lang w:val="en-US"/>
        </w:rPr>
        <w:lastRenderedPageBreak/>
        <w:t xml:space="preserve">Proposal </w:t>
      </w:r>
      <w:r w:rsidR="009D3E8F">
        <w:rPr>
          <w:rFonts w:eastAsia="MS Mincho"/>
          <w:b/>
          <w:lang w:val="en-US"/>
        </w:rPr>
        <w:t>3</w:t>
      </w:r>
      <w:r>
        <w:rPr>
          <w:rFonts w:eastAsia="MS Mincho"/>
          <w:b/>
          <w:lang w:val="en-US"/>
        </w:rPr>
        <w:t xml:space="preserve">: </w:t>
      </w:r>
    </w:p>
    <w:p w14:paraId="13B7BC3B" w14:textId="141B18DD" w:rsidR="00D53B2B" w:rsidRPr="00B03EE8" w:rsidRDefault="00D53B2B" w:rsidP="00B03EE8">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w:t>
      </w:r>
      <w:r w:rsidR="00B03EE8">
        <w:rPr>
          <w:rFonts w:eastAsia="MS Mincho"/>
          <w:b/>
          <w:lang w:val="en-US"/>
        </w:rPr>
        <w:t>, t</w:t>
      </w:r>
      <w:r w:rsidRPr="00B03EE8">
        <w:rPr>
          <w:b/>
          <w:lang w:val="en-US"/>
        </w:rPr>
        <w:t>he same capability signaling structure can be reused for DC as for CA.</w:t>
      </w:r>
    </w:p>
    <w:p w14:paraId="0ABCD989" w14:textId="01555B98" w:rsidR="00D53B2B" w:rsidRDefault="00D53B2B" w:rsidP="00D53B2B">
      <w:pPr>
        <w:spacing w:after="0"/>
        <w:rPr>
          <w:rFonts w:eastAsia="MS Mincho"/>
          <w:b/>
          <w:lang w:val="en-US"/>
        </w:rPr>
      </w:pPr>
    </w:p>
    <w:p w14:paraId="42A79948" w14:textId="32B02870" w:rsidR="00B03EE8" w:rsidRDefault="00B03EE8" w:rsidP="00D53B2B">
      <w:pPr>
        <w:spacing w:after="0"/>
        <w:rPr>
          <w:rFonts w:eastAsia="MS Mincho"/>
          <w:b/>
          <w:lang w:val="en-US"/>
        </w:rPr>
      </w:pPr>
    </w:p>
    <w:p w14:paraId="2B0C285B" w14:textId="58BAD367" w:rsidR="00B03EE8" w:rsidRPr="00565314" w:rsidRDefault="00B03EE8" w:rsidP="00D53B2B">
      <w:pPr>
        <w:spacing w:after="0"/>
        <w:rPr>
          <w:rFonts w:eastAsia="MS Mincho"/>
          <w:lang w:val="en-US"/>
        </w:rPr>
      </w:pPr>
      <w:r w:rsidRPr="00565314">
        <w:rPr>
          <w:rFonts w:eastAsia="MS Mincho"/>
          <w:lang w:val="en-US"/>
        </w:rPr>
        <w:t xml:space="preserve">Even though we do not propose independent capabilities for cell groups, supported capabilities should still be allowed to be different between CA and DC, therefore we make the following proposal: </w:t>
      </w:r>
    </w:p>
    <w:p w14:paraId="0442F77D" w14:textId="77777777" w:rsidR="00B03EE8" w:rsidRDefault="00B03EE8" w:rsidP="00D53B2B">
      <w:pPr>
        <w:spacing w:after="0"/>
        <w:rPr>
          <w:rFonts w:eastAsia="MS Mincho"/>
          <w:b/>
          <w:lang w:val="en-US"/>
        </w:rPr>
      </w:pPr>
    </w:p>
    <w:p w14:paraId="69D719FF" w14:textId="54D3037B" w:rsidR="00B03EE8" w:rsidRDefault="00B03EE8" w:rsidP="00B03EE8">
      <w:pPr>
        <w:spacing w:after="0"/>
        <w:rPr>
          <w:rFonts w:eastAsia="MS Mincho"/>
          <w:b/>
          <w:lang w:val="en-US"/>
        </w:rPr>
      </w:pPr>
      <w:r>
        <w:rPr>
          <w:rFonts w:eastAsia="MS Mincho"/>
          <w:b/>
          <w:lang w:val="en-US"/>
        </w:rPr>
        <w:t xml:space="preserve">Proposal </w:t>
      </w:r>
      <w:r w:rsidR="009D3E8F">
        <w:rPr>
          <w:rFonts w:eastAsia="MS Mincho"/>
          <w:b/>
          <w:lang w:val="en-US"/>
        </w:rPr>
        <w:t>4</w:t>
      </w:r>
      <w:r>
        <w:rPr>
          <w:rFonts w:eastAsia="MS Mincho"/>
          <w:b/>
          <w:lang w:val="en-US"/>
        </w:rPr>
        <w:t xml:space="preserve">: </w:t>
      </w:r>
    </w:p>
    <w:p w14:paraId="2331FF27" w14:textId="18E5B273" w:rsidR="00B03EE8" w:rsidRPr="00B03EE8" w:rsidRDefault="00B03EE8" w:rsidP="00B03EE8">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w:t>
      </w:r>
      <w:r w:rsidR="00565314">
        <w:rPr>
          <w:rFonts w:eastAsia="MS Mincho"/>
          <w:b/>
          <w:lang w:val="en-US"/>
        </w:rPr>
        <w:t xml:space="preserve"> and that are of</w:t>
      </w:r>
      <w:r w:rsidRPr="00B03EE8">
        <w:rPr>
          <w:b/>
          <w:lang w:val="en-US"/>
        </w:rPr>
        <w:t xml:space="preserve"> Type 3 (per band per band combination), the same band combinations need to be</w:t>
      </w:r>
      <w:r w:rsidR="00565314">
        <w:rPr>
          <w:b/>
          <w:lang w:val="en-US"/>
        </w:rPr>
        <w:t xml:space="preserve"> allowed to be</w:t>
      </w:r>
      <w:r w:rsidRPr="00B03EE8">
        <w:rPr>
          <w:b/>
          <w:lang w:val="en-US"/>
        </w:rPr>
        <w:t xml:space="preserve"> listed separately for CA and DC with allowing different capability contents.</w:t>
      </w:r>
    </w:p>
    <w:p w14:paraId="501644AC" w14:textId="77777777" w:rsidR="00B03EE8" w:rsidRDefault="00B03EE8" w:rsidP="00B03EE8">
      <w:pPr>
        <w:spacing w:after="0"/>
        <w:rPr>
          <w:rFonts w:eastAsia="MS Mincho"/>
          <w:b/>
          <w:lang w:val="en-US"/>
        </w:rPr>
      </w:pPr>
    </w:p>
    <w:p w14:paraId="310AE494" w14:textId="77777777" w:rsidR="00B03EE8" w:rsidRDefault="00B03EE8" w:rsidP="00D53B2B">
      <w:pPr>
        <w:spacing w:after="0"/>
        <w:rPr>
          <w:rFonts w:eastAsia="MS Mincho"/>
          <w:b/>
          <w:lang w:val="en-US"/>
        </w:rPr>
      </w:pPr>
    </w:p>
    <w:p w14:paraId="15742E28" w14:textId="2BCAA42F" w:rsidR="00565314" w:rsidRDefault="00565314" w:rsidP="00D53B2B">
      <w:pPr>
        <w:spacing w:after="0"/>
        <w:rPr>
          <w:rFonts w:eastAsia="MS Mincho"/>
          <w:lang w:val="en-US"/>
        </w:rPr>
      </w:pPr>
      <w:r>
        <w:rPr>
          <w:rFonts w:eastAsia="MS Mincho"/>
          <w:lang w:val="en-US"/>
        </w:rPr>
        <w:t xml:space="preserve">Some capability parameters were defined ‘across all CCs’. It needs to be decided </w:t>
      </w:r>
      <w:r w:rsidR="00E12E8B">
        <w:rPr>
          <w:rFonts w:eastAsia="MS Mincho"/>
          <w:lang w:val="en-US"/>
        </w:rPr>
        <w:t>how these parameters are interpreted in</w:t>
      </w:r>
      <w:r>
        <w:rPr>
          <w:rFonts w:eastAsia="MS Mincho"/>
          <w:lang w:val="en-US"/>
        </w:rPr>
        <w:t xml:space="preserve"> NR-NR DC. </w:t>
      </w:r>
      <w:r w:rsidR="00E12E8B">
        <w:rPr>
          <w:rFonts w:eastAsia="MS Mincho"/>
          <w:lang w:val="en-US"/>
        </w:rPr>
        <w:t>Take f</w:t>
      </w:r>
      <w:r>
        <w:rPr>
          <w:rFonts w:eastAsia="MS Mincho"/>
          <w:lang w:val="en-US"/>
        </w:rPr>
        <w:t>or example</w:t>
      </w:r>
      <w:r w:rsidR="00E12E8B">
        <w:rPr>
          <w:rFonts w:eastAsia="MS Mincho"/>
          <w:lang w:val="en-US"/>
        </w:rPr>
        <w:t xml:space="preserve"> FG 2-35 Component 5 shown below</w:t>
      </w:r>
      <w:proofErr w:type="gramStart"/>
      <w:r w:rsidR="00E12E8B">
        <w:rPr>
          <w:rFonts w:eastAsia="MS Mincho"/>
          <w:lang w:val="en-US"/>
        </w:rPr>
        <w:t>:</w:t>
      </w:r>
      <w:r w:rsidR="00E12E8B" w:rsidRPr="00A54222">
        <w:rPr>
          <w:rFonts w:eastAsia="Times New Roman"/>
          <w:i/>
          <w:szCs w:val="16"/>
        </w:rPr>
        <w:t>”UE</w:t>
      </w:r>
      <w:proofErr w:type="gramEnd"/>
      <w:r w:rsidR="00E12E8B" w:rsidRPr="00A54222">
        <w:rPr>
          <w:rFonts w:eastAsia="Times New Roman"/>
          <w:i/>
          <w:szCs w:val="16"/>
        </w:rPr>
        <w:t xml:space="preserve"> can process X CSI report(s) simultaneously </w:t>
      </w:r>
      <w:r w:rsidR="00E12E8B" w:rsidRPr="00A54222">
        <w:rPr>
          <w:rFonts w:eastAsia="Times New Roman"/>
          <w:i/>
          <w:szCs w:val="16"/>
          <w:highlight w:val="yellow"/>
        </w:rPr>
        <w:t>across all CCs</w:t>
      </w:r>
      <w:r w:rsidR="00E12E8B" w:rsidRPr="00A54222">
        <w:rPr>
          <w:rFonts w:eastAsia="Times New Roman"/>
          <w:i/>
          <w:szCs w:val="16"/>
        </w:rPr>
        <w:t>. CSI reports can be P/SP/A CSI and any latency class and codebook type”</w:t>
      </w:r>
      <w:r w:rsidR="00E12E8B" w:rsidRPr="00992F88">
        <w:rPr>
          <w:rFonts w:asciiTheme="majorHAnsi" w:eastAsia="Times New Roman" w:hAnsiTheme="majorHAnsi" w:cstheme="majorHAnsi"/>
          <w:sz w:val="16"/>
          <w:szCs w:val="16"/>
        </w:rPr>
        <w:t xml:space="preserve">. </w:t>
      </w:r>
      <w:r w:rsidR="00E12E8B">
        <w:rPr>
          <w:rFonts w:eastAsia="MS Mincho"/>
          <w:lang w:val="en-US"/>
        </w:rPr>
        <w:t xml:space="preserve">   </w:t>
      </w:r>
    </w:p>
    <w:p w14:paraId="7B400F3D" w14:textId="5D284FC4" w:rsidR="00992F88" w:rsidRDefault="00565314" w:rsidP="00D53B2B">
      <w:pPr>
        <w:spacing w:after="0"/>
        <w:rPr>
          <w:rFonts w:eastAsia="MS Mincho"/>
          <w:lang w:val="en-US"/>
        </w:rPr>
      </w:pPr>
      <w:r>
        <w:rPr>
          <w:rFonts w:eastAsia="MS Mincho"/>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9"/>
        <w:gridCol w:w="921"/>
        <w:gridCol w:w="2175"/>
        <w:gridCol w:w="230"/>
        <w:gridCol w:w="220"/>
        <w:gridCol w:w="269"/>
        <w:gridCol w:w="360"/>
        <w:gridCol w:w="407"/>
        <w:gridCol w:w="224"/>
        <w:gridCol w:w="1532"/>
        <w:gridCol w:w="271"/>
        <w:gridCol w:w="2394"/>
      </w:tblGrid>
      <w:tr w:rsidR="00E12E8B" w:rsidRPr="003E4760" w14:paraId="66733A5C" w14:textId="77777777" w:rsidTr="00E12E8B">
        <w:trPr>
          <w:trHeight w:val="525"/>
        </w:trPr>
        <w:tc>
          <w:tcPr>
            <w:tcW w:w="217" w:type="pct"/>
            <w:shd w:val="clear" w:color="auto" w:fill="auto"/>
            <w:vAlign w:val="center"/>
          </w:tcPr>
          <w:p w14:paraId="03EB3C3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2-35</w:t>
            </w:r>
          </w:p>
        </w:tc>
        <w:tc>
          <w:tcPr>
            <w:tcW w:w="489" w:type="pct"/>
            <w:shd w:val="clear" w:color="auto" w:fill="auto"/>
            <w:vAlign w:val="center"/>
          </w:tcPr>
          <w:p w14:paraId="7272A73B"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CSI report framework </w:t>
            </w:r>
          </w:p>
          <w:p w14:paraId="33866FAE" w14:textId="77777777" w:rsidR="00992F88" w:rsidRPr="00992F88" w:rsidRDefault="00992F88" w:rsidP="00081180">
            <w:pPr>
              <w:rPr>
                <w:rFonts w:asciiTheme="majorHAnsi" w:eastAsia="Times New Roman" w:hAnsiTheme="majorHAnsi" w:cstheme="majorHAnsi"/>
                <w:sz w:val="16"/>
                <w:szCs w:val="16"/>
              </w:rPr>
            </w:pPr>
          </w:p>
        </w:tc>
        <w:tc>
          <w:tcPr>
            <w:tcW w:w="1155" w:type="pct"/>
            <w:shd w:val="clear" w:color="auto" w:fill="auto"/>
            <w:vAlign w:val="center"/>
          </w:tcPr>
          <w:p w14:paraId="477739C1"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1. Maximum number of periodic CSI report setting per BWP for CSI report</w:t>
            </w:r>
          </w:p>
          <w:p w14:paraId="43EF8F4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1a. Maximum number of periodic CSI report setting per BWP for beam report</w:t>
            </w:r>
          </w:p>
          <w:p w14:paraId="5857B144"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 Maximum number of aperiodic CSI report setting per BWP for CSI report</w:t>
            </w:r>
          </w:p>
          <w:p w14:paraId="373852D3"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2a. Maximum number of aperiodic CSI report setting per BWP for beam report</w:t>
            </w:r>
          </w:p>
          <w:p w14:paraId="06CE295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2b. Maximum number of configured aperiodic CSI triggering states in CSI-</w:t>
            </w:r>
            <w:proofErr w:type="spellStart"/>
            <w:r w:rsidRPr="00992F88">
              <w:rPr>
                <w:rFonts w:asciiTheme="majorHAnsi" w:eastAsia="Times New Roman" w:hAnsiTheme="majorHAnsi" w:cstheme="majorHAnsi"/>
                <w:sz w:val="16"/>
                <w:szCs w:val="16"/>
              </w:rPr>
              <w:t>AperiodicTriggerStateList</w:t>
            </w:r>
            <w:proofErr w:type="spellEnd"/>
            <w:r w:rsidRPr="00992F88">
              <w:rPr>
                <w:rFonts w:asciiTheme="majorHAnsi" w:eastAsia="Times New Roman" w:hAnsiTheme="majorHAnsi" w:cstheme="majorHAnsi"/>
                <w:sz w:val="16"/>
                <w:szCs w:val="16"/>
              </w:rPr>
              <w:t xml:space="preserve"> per CC, </w:t>
            </w:r>
          </w:p>
          <w:p w14:paraId="2E13D8E6"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3. Maximum number of semi-persistent CSI report setting per BWP for CSI report</w:t>
            </w:r>
          </w:p>
          <w:p w14:paraId="4A74CC8A"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3a. Maximum number of semi-persistent CSI report setting per BWP for beam report</w:t>
            </w:r>
          </w:p>
          <w:p w14:paraId="7DD7B3EE" w14:textId="77777777" w:rsidR="00992F88" w:rsidRPr="00992F88" w:rsidRDefault="00992F88" w:rsidP="00081180">
            <w:pPr>
              <w:rPr>
                <w:rFonts w:asciiTheme="majorHAnsi" w:hAnsiTheme="majorHAnsi" w:cstheme="majorHAnsi"/>
                <w:sz w:val="16"/>
                <w:szCs w:val="16"/>
              </w:rPr>
            </w:pPr>
            <w:r w:rsidRPr="00992F88">
              <w:rPr>
                <w:rFonts w:asciiTheme="majorHAnsi" w:eastAsia="Times New Roman" w:hAnsiTheme="majorHAnsi" w:cstheme="majorHAnsi"/>
                <w:sz w:val="16"/>
                <w:szCs w:val="16"/>
              </w:rPr>
              <w:t>4. UE can process Y CSI report(s) simultaneously in a CC. CSI reports can be P/SP/A CSI and any latency class and codebook type.</w:t>
            </w:r>
          </w:p>
          <w:p w14:paraId="6613F778" w14:textId="0B26396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5. UE can process X CSI report(s) simultaneously </w:t>
            </w:r>
            <w:r w:rsidRPr="00E12E8B">
              <w:rPr>
                <w:rFonts w:asciiTheme="majorHAnsi" w:eastAsia="Times New Roman" w:hAnsiTheme="majorHAnsi" w:cstheme="majorHAnsi"/>
                <w:sz w:val="16"/>
                <w:szCs w:val="16"/>
                <w:highlight w:val="yellow"/>
              </w:rPr>
              <w:t>across all CCs</w:t>
            </w:r>
            <w:r w:rsidRPr="00992F88">
              <w:rPr>
                <w:rFonts w:asciiTheme="majorHAnsi" w:eastAsia="Times New Roman" w:hAnsiTheme="majorHAnsi" w:cstheme="majorHAnsi"/>
                <w:sz w:val="16"/>
                <w:szCs w:val="16"/>
              </w:rPr>
              <w:t xml:space="preserve">. CSI reports can be P/SP/A CSI and any latency class and codebook type. </w:t>
            </w:r>
          </w:p>
        </w:tc>
        <w:tc>
          <w:tcPr>
            <w:tcW w:w="122" w:type="pct"/>
            <w:shd w:val="clear" w:color="auto" w:fill="auto"/>
            <w:vAlign w:val="center"/>
          </w:tcPr>
          <w:p w14:paraId="270999C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2-32</w:t>
            </w:r>
          </w:p>
        </w:tc>
        <w:tc>
          <w:tcPr>
            <w:tcW w:w="117" w:type="pct"/>
            <w:shd w:val="clear" w:color="auto" w:fill="auto"/>
            <w:vAlign w:val="center"/>
          </w:tcPr>
          <w:p w14:paraId="365E13D5" w14:textId="77777777"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Yes</w:t>
            </w:r>
          </w:p>
        </w:tc>
        <w:tc>
          <w:tcPr>
            <w:tcW w:w="143" w:type="pct"/>
            <w:shd w:val="clear" w:color="auto" w:fill="auto"/>
            <w:vAlign w:val="center"/>
          </w:tcPr>
          <w:p w14:paraId="6DF3EF1D"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Type 3</w:t>
            </w:r>
          </w:p>
        </w:tc>
        <w:tc>
          <w:tcPr>
            <w:tcW w:w="191" w:type="pct"/>
            <w:shd w:val="clear" w:color="auto" w:fill="auto"/>
            <w:vAlign w:val="center"/>
          </w:tcPr>
          <w:p w14:paraId="42290B72" w14:textId="77777777" w:rsidR="00992F88" w:rsidRPr="00992F88" w:rsidRDefault="00992F88" w:rsidP="00081180">
            <w:pPr>
              <w:snapToGrid w:val="0"/>
              <w:jc w:val="center"/>
              <w:rPr>
                <w:rFonts w:asciiTheme="majorHAnsi" w:eastAsia="MS PGothic" w:hAnsiTheme="majorHAnsi" w:cstheme="majorHAnsi"/>
                <w:sz w:val="16"/>
                <w:szCs w:val="16"/>
              </w:rPr>
            </w:pPr>
            <w:r w:rsidRPr="00992F88">
              <w:rPr>
                <w:rFonts w:asciiTheme="majorHAnsi" w:eastAsia="MS PGothic" w:hAnsiTheme="majorHAnsi" w:cstheme="majorHAnsi"/>
                <w:sz w:val="16"/>
                <w:szCs w:val="16"/>
              </w:rPr>
              <w:t>N.A.</w:t>
            </w:r>
          </w:p>
        </w:tc>
        <w:tc>
          <w:tcPr>
            <w:tcW w:w="216" w:type="pct"/>
            <w:shd w:val="clear" w:color="auto" w:fill="auto"/>
            <w:vAlign w:val="center"/>
          </w:tcPr>
          <w:p w14:paraId="3BA8DB12" w14:textId="77777777" w:rsidR="00992F88" w:rsidRPr="00992F88" w:rsidRDefault="00992F88" w:rsidP="00081180">
            <w:pPr>
              <w:snapToGrid w:val="0"/>
              <w:jc w:val="center"/>
              <w:rPr>
                <w:rFonts w:asciiTheme="majorHAnsi" w:eastAsia="Malgun Gothic" w:hAnsiTheme="majorHAnsi" w:cstheme="majorHAnsi"/>
                <w:sz w:val="16"/>
                <w:szCs w:val="16"/>
              </w:rPr>
            </w:pPr>
            <w:r w:rsidRPr="00992F88">
              <w:rPr>
                <w:rFonts w:asciiTheme="majorHAnsi" w:eastAsia="Malgun Gothic" w:hAnsiTheme="majorHAnsi" w:cstheme="majorHAnsi"/>
                <w:sz w:val="16"/>
                <w:szCs w:val="16"/>
              </w:rPr>
              <w:t>N.A.</w:t>
            </w:r>
          </w:p>
        </w:tc>
        <w:tc>
          <w:tcPr>
            <w:tcW w:w="119" w:type="pct"/>
            <w:shd w:val="clear" w:color="auto" w:fill="auto"/>
            <w:vAlign w:val="center"/>
          </w:tcPr>
          <w:p w14:paraId="57E92664" w14:textId="77777777" w:rsidR="00992F88" w:rsidRPr="00992F88" w:rsidRDefault="00992F88" w:rsidP="00081180">
            <w:pPr>
              <w:snapToGrid w:val="0"/>
              <w:rPr>
                <w:rFonts w:asciiTheme="majorHAnsi" w:eastAsia="Malgun Gothic" w:hAnsiTheme="majorHAnsi" w:cstheme="majorHAnsi"/>
                <w:sz w:val="16"/>
                <w:szCs w:val="16"/>
              </w:rPr>
            </w:pPr>
          </w:p>
        </w:tc>
        <w:tc>
          <w:tcPr>
            <w:tcW w:w="814" w:type="pct"/>
            <w:shd w:val="clear" w:color="auto" w:fill="auto"/>
            <w:vAlign w:val="center"/>
          </w:tcPr>
          <w:p w14:paraId="2CE39A4E" w14:textId="329BF565"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Other MIMO capability other than component 5 may further restrict (reduce) the number of simultaneously CSI report that UE is required to update</w:t>
            </w:r>
          </w:p>
          <w:p w14:paraId="3FEBF50D" w14:textId="68C6EDC1"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The CSI report in component 4 includes the beam report and CSI report</w:t>
            </w:r>
          </w:p>
          <w:p w14:paraId="27CFC8B6" w14:textId="1AD1E579"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 xml:space="preserve">Note: The CSI report in component 5 includes the beam report and CSI report </w:t>
            </w:r>
          </w:p>
          <w:p w14:paraId="4B50B486" w14:textId="015D064A"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hint="eastAsia"/>
                <w:sz w:val="16"/>
                <w:szCs w:val="16"/>
              </w:rPr>
              <w:t>N</w:t>
            </w:r>
            <w:r w:rsidRPr="00992F88">
              <w:rPr>
                <w:rFonts w:asciiTheme="majorHAnsi" w:eastAsia="MS PGothic" w:hAnsiTheme="majorHAnsi" w:cstheme="majorHAnsi"/>
                <w:sz w:val="16"/>
                <w:szCs w:val="16"/>
              </w:rPr>
              <w:t>ote: each component is independent</w:t>
            </w:r>
          </w:p>
          <w:p w14:paraId="722A5D02" w14:textId="77777777" w:rsidR="00992F88" w:rsidRPr="00992F88" w:rsidRDefault="00992F88" w:rsidP="00081180">
            <w:pPr>
              <w:snapToGrid w:val="0"/>
              <w:rPr>
                <w:rFonts w:asciiTheme="majorHAnsi" w:eastAsia="MS PGothic" w:hAnsiTheme="majorHAnsi" w:cstheme="majorHAnsi"/>
                <w:sz w:val="16"/>
                <w:szCs w:val="16"/>
              </w:rPr>
            </w:pPr>
            <w:r w:rsidRPr="00992F88">
              <w:rPr>
                <w:rFonts w:asciiTheme="majorHAnsi" w:eastAsia="MS PGothic" w:hAnsiTheme="majorHAnsi" w:cstheme="majorHAnsi"/>
                <w:sz w:val="16"/>
                <w:szCs w:val="16"/>
              </w:rPr>
              <w:t>Note: CSI report setting are counted in the CC indicated by the parameter carrier in CSI-</w:t>
            </w:r>
            <w:proofErr w:type="spellStart"/>
            <w:r w:rsidRPr="00992F88">
              <w:rPr>
                <w:rFonts w:asciiTheme="majorHAnsi" w:eastAsia="MS PGothic" w:hAnsiTheme="majorHAnsi" w:cstheme="majorHAnsi"/>
                <w:sz w:val="16"/>
                <w:szCs w:val="16"/>
              </w:rPr>
              <w:t>ResourceConfig</w:t>
            </w:r>
            <w:proofErr w:type="spellEnd"/>
            <w:r w:rsidRPr="00992F88">
              <w:rPr>
                <w:rFonts w:asciiTheme="majorHAnsi" w:eastAsia="MS PGothic" w:hAnsiTheme="majorHAnsi" w:cstheme="majorHAnsi"/>
                <w:sz w:val="16"/>
                <w:szCs w:val="16"/>
              </w:rPr>
              <w:t>.</w:t>
            </w:r>
          </w:p>
        </w:tc>
        <w:tc>
          <w:tcPr>
            <w:tcW w:w="144" w:type="pct"/>
            <w:shd w:val="clear" w:color="auto" w:fill="auto"/>
            <w:vAlign w:val="center"/>
          </w:tcPr>
          <w:p w14:paraId="5E3EF7E2" w14:textId="77777777" w:rsidR="00992F88" w:rsidRPr="00992F88" w:rsidRDefault="00992F88" w:rsidP="00081180">
            <w:pPr>
              <w:snapToGrid w:val="0"/>
              <w:rPr>
                <w:rFonts w:asciiTheme="majorHAnsi" w:eastAsia="MS PGothic" w:hAnsiTheme="majorHAnsi" w:cstheme="majorHAnsi"/>
                <w:sz w:val="16"/>
                <w:szCs w:val="16"/>
              </w:rPr>
            </w:pPr>
          </w:p>
        </w:tc>
        <w:tc>
          <w:tcPr>
            <w:tcW w:w="1272" w:type="pct"/>
            <w:vAlign w:val="center"/>
          </w:tcPr>
          <w:p w14:paraId="37681624" w14:textId="4897F6C0"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 xml:space="preserve">Mandatory with capability </w:t>
            </w:r>
            <w:proofErr w:type="spellStart"/>
            <w:r w:rsidRPr="00992F88">
              <w:rPr>
                <w:rFonts w:asciiTheme="majorHAnsi" w:eastAsia="Times New Roman" w:hAnsiTheme="majorHAnsi" w:cstheme="majorHAnsi"/>
                <w:sz w:val="16"/>
                <w:szCs w:val="16"/>
              </w:rPr>
              <w:t>signaling</w:t>
            </w:r>
            <w:proofErr w:type="spellEnd"/>
          </w:p>
          <w:p w14:paraId="2F263BF2"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Component-1 candidate values: {1, 2, 3, 4}</w:t>
            </w:r>
          </w:p>
          <w:p w14:paraId="68D676B9"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Component-1a candidate values: {1, 2, 3, 4}</w:t>
            </w:r>
          </w:p>
          <w:p w14:paraId="06957FD0" w14:textId="3CBDBED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Component-2 candidate values</w:t>
            </w:r>
            <w:r>
              <w:rPr>
                <w:rFonts w:asciiTheme="majorHAnsi" w:eastAsia="Times New Roman" w:hAnsiTheme="majorHAnsi" w:cstheme="majorHAnsi"/>
                <w:sz w:val="16"/>
                <w:szCs w:val="16"/>
              </w:rPr>
              <w:t>:</w:t>
            </w:r>
            <w:r w:rsidRPr="00992F88">
              <w:rPr>
                <w:rFonts w:asciiTheme="majorHAnsi" w:eastAsia="Times New Roman" w:hAnsiTheme="majorHAnsi" w:cstheme="majorHAnsi"/>
                <w:sz w:val="16"/>
                <w:szCs w:val="16"/>
              </w:rPr>
              <w:t xml:space="preserve"> {1, 2, 3, 4}</w:t>
            </w:r>
          </w:p>
          <w:p w14:paraId="3054F18E" w14:textId="37A12964"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Component-2a candidate values</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{1, 2, 3, 4}</w:t>
            </w:r>
          </w:p>
          <w:p w14:paraId="45C3A7C2" w14:textId="01DC521B" w:rsidR="00992F88" w:rsidRPr="00992F88" w:rsidRDefault="00992F88" w:rsidP="00081180">
            <w:pPr>
              <w:rPr>
                <w:rFonts w:asciiTheme="majorHAnsi" w:eastAsiaTheme="minorEastAsia" w:hAnsiTheme="majorHAnsi" w:cstheme="majorHAnsi"/>
                <w:sz w:val="16"/>
                <w:szCs w:val="16"/>
              </w:rPr>
            </w:pPr>
            <w:r w:rsidRPr="00992F88">
              <w:rPr>
                <w:rFonts w:asciiTheme="majorHAnsi" w:eastAsia="Times New Roman" w:hAnsiTheme="majorHAnsi" w:cstheme="majorHAnsi"/>
                <w:sz w:val="16"/>
                <w:szCs w:val="16"/>
              </w:rPr>
              <w:t>Component-2b candidate values</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{3, 7, 15, 31, 63, 128}</w:t>
            </w:r>
          </w:p>
          <w:p w14:paraId="7E0788C7" w14:textId="77777777"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Component-3 candidate values: {0, 1, 2, 3, 4}</w:t>
            </w:r>
          </w:p>
          <w:p w14:paraId="4D93E9AF" w14:textId="08E20CE1" w:rsidR="00992F88" w:rsidRPr="00992F88" w:rsidRDefault="00992F88" w:rsidP="00081180">
            <w:pPr>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Component-3a candidate values: {0, 1, 2, 3, 4}</w:t>
            </w:r>
          </w:p>
          <w:p w14:paraId="2D844B71" w14:textId="22A74E6A" w:rsidR="00992F88" w:rsidRDefault="00992F88" w:rsidP="00992F88">
            <w:pPr>
              <w:snapToGrid w:val="0"/>
              <w:spacing w:after="0"/>
              <w:rPr>
                <w:rFonts w:asciiTheme="majorHAnsi" w:eastAsia="MS PGothic" w:hAnsiTheme="majorHAnsi" w:cs="Arial"/>
                <w:sz w:val="16"/>
                <w:szCs w:val="16"/>
              </w:rPr>
            </w:pPr>
            <w:r w:rsidRPr="00992F88">
              <w:rPr>
                <w:rFonts w:asciiTheme="majorHAnsi" w:eastAsia="MS PGothic" w:hAnsiTheme="majorHAnsi" w:cs="Arial"/>
                <w:sz w:val="16"/>
                <w:szCs w:val="16"/>
              </w:rPr>
              <w:t>Component-4</w:t>
            </w:r>
            <w:r>
              <w:rPr>
                <w:rFonts w:asciiTheme="majorHAnsi" w:eastAsia="MS PGothic" w:hAnsiTheme="majorHAnsi" w:cs="Arial"/>
                <w:sz w:val="16"/>
                <w:szCs w:val="16"/>
              </w:rPr>
              <w:t xml:space="preserve"> </w:t>
            </w:r>
            <w:r w:rsidRPr="00992F88">
              <w:rPr>
                <w:rFonts w:asciiTheme="majorHAnsi" w:eastAsia="MS PGothic" w:hAnsiTheme="majorHAnsi" w:cs="Arial"/>
                <w:sz w:val="16"/>
                <w:szCs w:val="16"/>
              </w:rPr>
              <w:t>candidate values: {from 1 to 8}</w:t>
            </w:r>
          </w:p>
          <w:p w14:paraId="07780A2F" w14:textId="77777777" w:rsidR="00992F88" w:rsidRPr="00992F88" w:rsidRDefault="00992F88" w:rsidP="00992F88">
            <w:pPr>
              <w:snapToGrid w:val="0"/>
              <w:spacing w:after="0"/>
              <w:rPr>
                <w:rFonts w:asciiTheme="majorHAnsi" w:eastAsia="MS PGothic" w:hAnsiTheme="majorHAnsi" w:cs="Arial"/>
                <w:sz w:val="16"/>
                <w:szCs w:val="16"/>
              </w:rPr>
            </w:pPr>
          </w:p>
          <w:p w14:paraId="3C64B938" w14:textId="2DB7F93D" w:rsidR="00992F88" w:rsidRPr="00992F88" w:rsidRDefault="00992F88" w:rsidP="00992F88">
            <w:pPr>
              <w:spacing w:after="0"/>
              <w:rPr>
                <w:rFonts w:asciiTheme="majorHAnsi" w:eastAsia="Times New Roman" w:hAnsiTheme="majorHAnsi" w:cstheme="majorHAnsi"/>
                <w:sz w:val="16"/>
                <w:szCs w:val="16"/>
              </w:rPr>
            </w:pPr>
            <w:r w:rsidRPr="00992F88">
              <w:rPr>
                <w:rFonts w:asciiTheme="majorHAnsi" w:eastAsia="Times New Roman" w:hAnsiTheme="majorHAnsi" w:cstheme="majorHAnsi"/>
                <w:sz w:val="16"/>
                <w:szCs w:val="16"/>
              </w:rPr>
              <w:t>Component-5</w:t>
            </w:r>
            <w:r>
              <w:rPr>
                <w:rFonts w:asciiTheme="majorHAnsi" w:eastAsia="Times New Roman" w:hAnsiTheme="majorHAnsi" w:cstheme="majorHAnsi"/>
                <w:sz w:val="16"/>
                <w:szCs w:val="16"/>
              </w:rPr>
              <w:t xml:space="preserve"> </w:t>
            </w:r>
            <w:r w:rsidRPr="00992F88">
              <w:rPr>
                <w:rFonts w:asciiTheme="majorHAnsi" w:eastAsia="Times New Roman" w:hAnsiTheme="majorHAnsi" w:cstheme="majorHAnsi"/>
                <w:sz w:val="16"/>
                <w:szCs w:val="16"/>
              </w:rPr>
              <w:t>candidate values: {from 5 to 32}</w:t>
            </w:r>
          </w:p>
          <w:p w14:paraId="7F2267DD" w14:textId="77777777" w:rsidR="00992F88" w:rsidRPr="00992F88" w:rsidRDefault="00992F88" w:rsidP="00081180">
            <w:pPr>
              <w:rPr>
                <w:rFonts w:asciiTheme="majorHAnsi" w:eastAsia="Times New Roman" w:hAnsiTheme="majorHAnsi" w:cstheme="majorHAnsi"/>
                <w:sz w:val="16"/>
                <w:szCs w:val="16"/>
              </w:rPr>
            </w:pPr>
          </w:p>
          <w:p w14:paraId="65F79746" w14:textId="77777777" w:rsidR="00992F88" w:rsidRPr="00992F88" w:rsidRDefault="00992F88" w:rsidP="00081180">
            <w:pPr>
              <w:snapToGrid w:val="0"/>
              <w:rPr>
                <w:rFonts w:asciiTheme="majorHAnsi" w:eastAsia="MS PGothic" w:hAnsiTheme="majorHAnsi" w:cstheme="majorHAnsi"/>
                <w:sz w:val="16"/>
                <w:szCs w:val="16"/>
              </w:rPr>
            </w:pPr>
          </w:p>
        </w:tc>
      </w:tr>
    </w:tbl>
    <w:p w14:paraId="113F5BFD" w14:textId="0A9F1973" w:rsidR="00B03EE8" w:rsidRDefault="00B03EE8" w:rsidP="00D53B2B">
      <w:pPr>
        <w:spacing w:after="0"/>
        <w:rPr>
          <w:rFonts w:eastAsia="MS Mincho"/>
          <w:b/>
          <w:lang w:val="en-US"/>
        </w:rPr>
      </w:pPr>
    </w:p>
    <w:p w14:paraId="599965BE" w14:textId="32AD4445" w:rsidR="00E12E8B" w:rsidRDefault="00E12E8B" w:rsidP="00E12E8B">
      <w:pPr>
        <w:spacing w:after="0"/>
        <w:rPr>
          <w:rFonts w:eastAsia="MS Mincho"/>
          <w:lang w:val="en-US"/>
        </w:rPr>
      </w:pPr>
      <w:r>
        <w:rPr>
          <w:rFonts w:eastAsia="MS Mincho"/>
          <w:lang w:val="en-US"/>
        </w:rPr>
        <w:t xml:space="preserve">Assume the UE sets FG 2-35 Component 5 = ‘5’. </w:t>
      </w:r>
    </w:p>
    <w:p w14:paraId="6CE104FC" w14:textId="77777777" w:rsidR="00E12E8B" w:rsidRDefault="00E12E8B" w:rsidP="00E12E8B">
      <w:pPr>
        <w:spacing w:after="0"/>
        <w:rPr>
          <w:rFonts w:eastAsia="MS Mincho"/>
          <w:lang w:val="en-US"/>
        </w:rPr>
      </w:pPr>
      <w:r>
        <w:rPr>
          <w:rFonts w:eastAsia="MS Mincho"/>
          <w:lang w:val="en-US"/>
        </w:rPr>
        <w:t xml:space="preserve">Need to decide whether this means: </w:t>
      </w:r>
    </w:p>
    <w:p w14:paraId="0F892505" w14:textId="549FF5A5" w:rsidR="00E12E8B" w:rsidRDefault="00E757A8" w:rsidP="00047B9A">
      <w:pPr>
        <w:pStyle w:val="ListParagraph"/>
        <w:numPr>
          <w:ilvl w:val="0"/>
          <w:numId w:val="7"/>
        </w:numPr>
        <w:spacing w:after="0"/>
        <w:rPr>
          <w:lang w:val="en-US"/>
        </w:rPr>
      </w:pPr>
      <w:r w:rsidRPr="00E757A8">
        <w:rPr>
          <w:u w:val="single"/>
          <w:lang w:val="en-US"/>
        </w:rPr>
        <w:t>Option A</w:t>
      </w:r>
      <w:proofErr w:type="gramStart"/>
      <w:r w:rsidRPr="00E757A8">
        <w:rPr>
          <w:u w:val="single"/>
          <w:lang w:val="en-US"/>
        </w:rPr>
        <w:t>)</w:t>
      </w:r>
      <w:r>
        <w:rPr>
          <w:u w:val="single"/>
          <w:lang w:val="en-US"/>
        </w:rPr>
        <w:t xml:space="preserve"> :</w:t>
      </w:r>
      <w:proofErr w:type="gramEnd"/>
      <w:r>
        <w:rPr>
          <w:lang w:val="en-US"/>
        </w:rPr>
        <w:t xml:space="preserve"> </w:t>
      </w:r>
      <w:r w:rsidR="00E12E8B" w:rsidRPr="00E12E8B">
        <w:rPr>
          <w:lang w:val="en-US"/>
        </w:rPr>
        <w:t xml:space="preserve">The UE can process 5 CSI reports simultaneously across all CCs in the MCG and </w:t>
      </w:r>
      <w:r w:rsidR="00E12E8B">
        <w:rPr>
          <w:lang w:val="en-US"/>
        </w:rPr>
        <w:t xml:space="preserve">in addition </w:t>
      </w:r>
      <w:r w:rsidR="00E12E8B" w:rsidRPr="00E12E8B">
        <w:rPr>
          <w:lang w:val="en-US"/>
        </w:rPr>
        <w:t>5 CSI reports simultaneously across all CCs</w:t>
      </w:r>
      <w:r w:rsidR="00E12E8B">
        <w:rPr>
          <w:lang w:val="en-US"/>
        </w:rPr>
        <w:t xml:space="preserve"> in the SCG, i.e. 10 CSI reports total, or</w:t>
      </w:r>
    </w:p>
    <w:p w14:paraId="1B5DF2D5" w14:textId="63BC048E" w:rsidR="00E12E8B" w:rsidRDefault="00E757A8" w:rsidP="00047B9A">
      <w:pPr>
        <w:pStyle w:val="ListParagraph"/>
        <w:numPr>
          <w:ilvl w:val="0"/>
          <w:numId w:val="7"/>
        </w:numPr>
        <w:spacing w:after="0"/>
        <w:rPr>
          <w:lang w:val="en-US"/>
        </w:rPr>
      </w:pPr>
      <w:r w:rsidRPr="00E757A8">
        <w:rPr>
          <w:u w:val="single"/>
          <w:lang w:val="en-US"/>
        </w:rPr>
        <w:t>Option B</w:t>
      </w:r>
      <w:proofErr w:type="gramStart"/>
      <w:r w:rsidRPr="00E757A8">
        <w:rPr>
          <w:u w:val="single"/>
          <w:lang w:val="en-US"/>
        </w:rPr>
        <w:t>)</w:t>
      </w:r>
      <w:r>
        <w:rPr>
          <w:u w:val="single"/>
          <w:lang w:val="en-US"/>
        </w:rPr>
        <w:t xml:space="preserve"> :</w:t>
      </w:r>
      <w:proofErr w:type="gramEnd"/>
      <w:r>
        <w:rPr>
          <w:lang w:val="en-US"/>
        </w:rPr>
        <w:t xml:space="preserve"> </w:t>
      </w:r>
      <w:r w:rsidR="00E12E8B" w:rsidRPr="00E12E8B">
        <w:rPr>
          <w:lang w:val="en-US"/>
        </w:rPr>
        <w:t xml:space="preserve">The UE can process 5 CSI reports simultaneously </w:t>
      </w:r>
      <w:r w:rsidR="00E12E8B">
        <w:rPr>
          <w:lang w:val="en-US"/>
        </w:rPr>
        <w:t xml:space="preserve">summed </w:t>
      </w:r>
      <w:r w:rsidR="00E12E8B" w:rsidRPr="00E12E8B">
        <w:rPr>
          <w:lang w:val="en-US"/>
        </w:rPr>
        <w:t xml:space="preserve">across all CCs in the MCG </w:t>
      </w:r>
      <w:r w:rsidR="00E12E8B">
        <w:rPr>
          <w:lang w:val="en-US"/>
        </w:rPr>
        <w:t xml:space="preserve">and </w:t>
      </w:r>
      <w:r w:rsidR="00E12E8B" w:rsidRPr="00E12E8B">
        <w:rPr>
          <w:lang w:val="en-US"/>
        </w:rPr>
        <w:t>across all CCs</w:t>
      </w:r>
      <w:r w:rsidR="00E12E8B">
        <w:rPr>
          <w:lang w:val="en-US"/>
        </w:rPr>
        <w:t xml:space="preserve"> in the SCG, i.e. 5 CSI reports total</w:t>
      </w:r>
    </w:p>
    <w:p w14:paraId="4313BB6D" w14:textId="22A89501" w:rsidR="00E12E8B" w:rsidRPr="00E12E8B" w:rsidRDefault="00E12E8B" w:rsidP="00D53B2B">
      <w:pPr>
        <w:spacing w:after="0"/>
        <w:rPr>
          <w:lang w:val="en-US"/>
        </w:rPr>
      </w:pPr>
      <w:r>
        <w:rPr>
          <w:lang w:val="en-US"/>
        </w:rPr>
        <w:t>We propose to take Option (</w:t>
      </w:r>
      <w:r w:rsidR="00E757A8">
        <w:rPr>
          <w:lang w:val="en-US"/>
        </w:rPr>
        <w:t>B</w:t>
      </w:r>
      <w:r>
        <w:rPr>
          <w:lang w:val="en-US"/>
        </w:rPr>
        <w:t xml:space="preserve">), as captured in the following proposal. </w:t>
      </w:r>
    </w:p>
    <w:p w14:paraId="0CD9625C" w14:textId="77777777" w:rsidR="00E12E8B" w:rsidRDefault="00E12E8B" w:rsidP="00D53B2B">
      <w:pPr>
        <w:spacing w:after="0"/>
        <w:rPr>
          <w:rFonts w:eastAsia="MS Mincho"/>
          <w:b/>
          <w:lang w:val="en-US"/>
        </w:rPr>
      </w:pPr>
    </w:p>
    <w:p w14:paraId="09F215CB" w14:textId="3D3A2503" w:rsidR="00D53B2B" w:rsidRDefault="00D53B2B" w:rsidP="00D53B2B">
      <w:pPr>
        <w:spacing w:after="0"/>
        <w:rPr>
          <w:rFonts w:eastAsia="MS Mincho"/>
          <w:b/>
          <w:lang w:val="en-US"/>
        </w:rPr>
      </w:pPr>
      <w:r>
        <w:rPr>
          <w:rFonts w:eastAsia="MS Mincho"/>
          <w:b/>
          <w:lang w:val="en-US"/>
        </w:rPr>
        <w:t xml:space="preserve">Proposal </w:t>
      </w:r>
      <w:r w:rsidR="009D3E8F">
        <w:rPr>
          <w:rFonts w:eastAsia="MS Mincho"/>
          <w:b/>
          <w:lang w:val="en-US"/>
        </w:rPr>
        <w:t>5</w:t>
      </w:r>
      <w:r>
        <w:rPr>
          <w:rFonts w:eastAsia="MS Mincho"/>
          <w:b/>
          <w:lang w:val="en-US"/>
        </w:rPr>
        <w:t xml:space="preserve">: </w:t>
      </w:r>
    </w:p>
    <w:p w14:paraId="273AC8FE" w14:textId="77777777" w:rsidR="00D53B2B" w:rsidRPr="00121013" w:rsidRDefault="00D53B2B" w:rsidP="00D53B2B">
      <w:pPr>
        <w:spacing w:after="0"/>
        <w:rPr>
          <w:rFonts w:eastAsia="MS Mincho"/>
          <w:b/>
          <w:lang w:val="en-US"/>
        </w:rPr>
      </w:pPr>
      <w:r>
        <w:rPr>
          <w:rFonts w:eastAsia="MS Mincho"/>
          <w:b/>
          <w:lang w:val="en-US"/>
        </w:rPr>
        <w:t xml:space="preserve">For the capability parameters and components that are presently defined as ‘across all CC’: </w:t>
      </w:r>
      <w:r w:rsidRPr="00121013">
        <w:rPr>
          <w:b/>
          <w:lang w:val="en-US"/>
        </w:rPr>
        <w:t xml:space="preserve"> </w:t>
      </w:r>
    </w:p>
    <w:p w14:paraId="153D6D40" w14:textId="77777777" w:rsidR="00D53B2B" w:rsidRDefault="00D53B2B" w:rsidP="00047B9A">
      <w:pPr>
        <w:pStyle w:val="ListParagraph"/>
        <w:numPr>
          <w:ilvl w:val="0"/>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Pr="00382A87">
        <w:rPr>
          <w:b/>
          <w:lang w:val="en-US"/>
        </w:rPr>
        <w:t xml:space="preserve"> </w:t>
      </w:r>
      <w:r>
        <w:rPr>
          <w:b/>
          <w:lang w:val="en-US"/>
        </w:rPr>
        <w:t xml:space="preserve">should </w:t>
      </w:r>
      <w:r w:rsidRPr="00382A87">
        <w:rPr>
          <w:b/>
          <w:lang w:val="en-US"/>
        </w:rPr>
        <w:t>be defined as ‘across all CCs and across MCG and SCG’.</w:t>
      </w:r>
    </w:p>
    <w:p w14:paraId="7094F3D5" w14:textId="77777777" w:rsidR="00D53B2B" w:rsidRDefault="00D53B2B" w:rsidP="00D53B2B">
      <w:pPr>
        <w:spacing w:after="0"/>
        <w:rPr>
          <w:rFonts w:eastAsia="MS Mincho"/>
          <w:b/>
          <w:lang w:val="en-US"/>
        </w:rPr>
      </w:pPr>
    </w:p>
    <w:p w14:paraId="51A86878" w14:textId="77777777" w:rsidR="00565314" w:rsidRDefault="00565314" w:rsidP="00D53B2B">
      <w:pPr>
        <w:spacing w:after="0"/>
        <w:rPr>
          <w:rFonts w:eastAsia="MS Mincho"/>
          <w:b/>
          <w:lang w:val="en-US"/>
        </w:rPr>
      </w:pPr>
    </w:p>
    <w:p w14:paraId="11F66840" w14:textId="65A8D74F" w:rsidR="00565314" w:rsidRPr="00E757A8" w:rsidRDefault="00E757A8" w:rsidP="00D53B2B">
      <w:pPr>
        <w:spacing w:after="0"/>
        <w:rPr>
          <w:lang w:val="en-US"/>
        </w:rPr>
      </w:pPr>
      <w:r>
        <w:rPr>
          <w:lang w:val="en-US"/>
        </w:rPr>
        <w:t>I</w:t>
      </w:r>
      <w:r w:rsidRPr="00E757A8">
        <w:rPr>
          <w:lang w:val="en-US"/>
        </w:rPr>
        <w:t>t needs to be decided how to handle the defined mandatory minimum values</w:t>
      </w:r>
      <w:r>
        <w:rPr>
          <w:lang w:val="en-US"/>
        </w:rPr>
        <w:t xml:space="preserve">, </w:t>
      </w:r>
      <w:proofErr w:type="gramStart"/>
      <w:r>
        <w:rPr>
          <w:lang w:val="en-US"/>
        </w:rPr>
        <w:t>s</w:t>
      </w:r>
      <w:r w:rsidRPr="00E757A8">
        <w:rPr>
          <w:lang w:val="en-US"/>
        </w:rPr>
        <w:t>imilar to</w:t>
      </w:r>
      <w:proofErr w:type="gramEnd"/>
      <w:r w:rsidRPr="00E757A8">
        <w:rPr>
          <w:lang w:val="en-US"/>
        </w:rPr>
        <w:t xml:space="preserve"> the interpretation of </w:t>
      </w:r>
      <w:r>
        <w:rPr>
          <w:lang w:val="en-US"/>
        </w:rPr>
        <w:t xml:space="preserve">capability </w:t>
      </w:r>
      <w:r w:rsidRPr="00E757A8">
        <w:rPr>
          <w:lang w:val="en-US"/>
        </w:rPr>
        <w:t>parameters</w:t>
      </w:r>
      <w:r>
        <w:rPr>
          <w:lang w:val="en-US"/>
        </w:rPr>
        <w:t>.</w:t>
      </w:r>
      <w:r w:rsidRPr="00E757A8">
        <w:rPr>
          <w:lang w:val="en-US"/>
        </w:rPr>
        <w:t xml:space="preserve">  For this case, we also propose to take Option (</w:t>
      </w:r>
      <w:r>
        <w:rPr>
          <w:lang w:val="en-US"/>
        </w:rPr>
        <w:t>B</w:t>
      </w:r>
      <w:r w:rsidRPr="00E757A8">
        <w:rPr>
          <w:lang w:val="en-US"/>
        </w:rPr>
        <w:t>) above</w:t>
      </w:r>
      <w:r>
        <w:rPr>
          <w:lang w:val="en-US"/>
        </w:rPr>
        <w:t xml:space="preserve">, as captured in the following proposal. </w:t>
      </w:r>
      <w:r w:rsidRPr="00E757A8">
        <w:rPr>
          <w:lang w:val="en-US"/>
        </w:rPr>
        <w:t>For example, if the UE needs to support at least X bind decodes across all CCs in CA in a band combination then the UE needs to support at least X blind decodes across all CCs in DC in the same band combination; as opposed to supporting X blind decodes in the MCG and an additional X blind decodes in the SCG.</w:t>
      </w:r>
    </w:p>
    <w:p w14:paraId="2E2A9434" w14:textId="77777777" w:rsidR="00565314" w:rsidRDefault="00565314" w:rsidP="00D53B2B">
      <w:pPr>
        <w:spacing w:after="0"/>
        <w:rPr>
          <w:rFonts w:eastAsia="MS Mincho"/>
          <w:b/>
          <w:lang w:val="en-US"/>
        </w:rPr>
      </w:pPr>
    </w:p>
    <w:p w14:paraId="1D5B2C71" w14:textId="0222D233" w:rsidR="00D53B2B" w:rsidRDefault="00D53B2B" w:rsidP="00D53B2B">
      <w:pPr>
        <w:spacing w:after="0"/>
        <w:rPr>
          <w:rFonts w:eastAsia="MS Mincho"/>
          <w:b/>
          <w:lang w:val="en-US"/>
        </w:rPr>
      </w:pPr>
      <w:r>
        <w:rPr>
          <w:rFonts w:eastAsia="MS Mincho"/>
          <w:b/>
          <w:lang w:val="en-US"/>
        </w:rPr>
        <w:t xml:space="preserve">Proposal </w:t>
      </w:r>
      <w:r w:rsidR="009D3E8F">
        <w:rPr>
          <w:rFonts w:eastAsia="MS Mincho"/>
          <w:b/>
          <w:lang w:val="en-US"/>
        </w:rPr>
        <w:t>6</w:t>
      </w:r>
      <w:r>
        <w:rPr>
          <w:rFonts w:eastAsia="MS Mincho"/>
          <w:b/>
          <w:lang w:val="en-US"/>
        </w:rPr>
        <w:t xml:space="preserve">: </w:t>
      </w:r>
    </w:p>
    <w:p w14:paraId="4DC49A7B" w14:textId="77777777" w:rsidR="00D53B2B" w:rsidRDefault="00D53B2B" w:rsidP="00D53B2B">
      <w:pPr>
        <w:spacing w:after="0"/>
        <w:rPr>
          <w:rFonts w:eastAsia="MS Mincho"/>
          <w:b/>
          <w:lang w:val="en-US"/>
        </w:rPr>
      </w:pPr>
      <w:r>
        <w:rPr>
          <w:rFonts w:eastAsia="MS Mincho"/>
          <w:b/>
          <w:lang w:val="en-US"/>
        </w:rPr>
        <w:t xml:space="preserve">For the capability parameters and components that are presently defined as ‘across all CC’: </w:t>
      </w:r>
    </w:p>
    <w:p w14:paraId="0A6739B4" w14:textId="77777777" w:rsidR="00D53B2B" w:rsidRDefault="00D53B2B" w:rsidP="00047B9A">
      <w:pPr>
        <w:pStyle w:val="ListParagraph"/>
        <w:numPr>
          <w:ilvl w:val="0"/>
          <w:numId w:val="6"/>
        </w:numPr>
        <w:spacing w:after="0"/>
        <w:rPr>
          <w:b/>
          <w:lang w:val="en-US"/>
        </w:rPr>
      </w:pPr>
      <w:r>
        <w:rPr>
          <w:b/>
          <w:lang w:val="en-US"/>
        </w:rPr>
        <w:t xml:space="preserve">If there is any mandatory minimum value defined for ‘across all CCs’, the same mandatory minimum should apply to </w:t>
      </w:r>
      <w:r w:rsidRPr="00382A87">
        <w:rPr>
          <w:b/>
          <w:lang w:val="en-US"/>
        </w:rPr>
        <w:t xml:space="preserve">‘across all CCs and across MCG and SCG’. </w:t>
      </w:r>
    </w:p>
    <w:p w14:paraId="4209E14A" w14:textId="680102EF" w:rsidR="00D53B2B" w:rsidRDefault="00D53B2B" w:rsidP="00D53B2B">
      <w:pPr>
        <w:spacing w:after="0"/>
        <w:rPr>
          <w:b/>
          <w:lang w:val="en-US"/>
        </w:rPr>
      </w:pPr>
    </w:p>
    <w:p w14:paraId="09DA8633" w14:textId="1958EB63" w:rsidR="00E757A8" w:rsidRDefault="00E757A8" w:rsidP="00D53B2B">
      <w:pPr>
        <w:spacing w:after="0"/>
        <w:rPr>
          <w:b/>
          <w:lang w:val="en-US"/>
        </w:rPr>
      </w:pPr>
    </w:p>
    <w:p w14:paraId="155E1BD7" w14:textId="752CB23F" w:rsidR="00E757A8" w:rsidRPr="00E757A8" w:rsidRDefault="00E757A8" w:rsidP="00D53B2B">
      <w:pPr>
        <w:spacing w:after="0"/>
        <w:rPr>
          <w:lang w:val="en-US"/>
        </w:rPr>
      </w:pPr>
      <w:r w:rsidRPr="00E757A8">
        <w:rPr>
          <w:lang w:val="en-US"/>
        </w:rPr>
        <w:t>There is one remaining problem which seems to require slightly more complex handling. As mentioned in Section 2.1, async DC is likely supported with separate hardware blocks dedicated to MCG and SCG. As it was also mentioned in Section 2.1,</w:t>
      </w:r>
      <w:r w:rsidR="004A705E">
        <w:rPr>
          <w:lang w:val="en-US"/>
        </w:rPr>
        <w:t xml:space="preserve"> there would be</w:t>
      </w:r>
      <w:r w:rsidR="004A705E">
        <w:rPr>
          <w:rFonts w:eastAsia="MS Mincho"/>
          <w:lang w:val="en-US"/>
        </w:rPr>
        <w:t xml:space="preserve"> </w:t>
      </w:r>
      <w:r w:rsidR="004A705E" w:rsidRPr="00A169D1">
        <w:rPr>
          <w:rFonts w:eastAsia="MS Mincho"/>
          <w:lang w:val="en-US"/>
        </w:rPr>
        <w:t>limited or no possibility of hardware</w:t>
      </w:r>
      <w:r w:rsidR="004A705E">
        <w:rPr>
          <w:rFonts w:eastAsia="MS Mincho"/>
          <w:lang w:val="en-US"/>
        </w:rPr>
        <w:t xml:space="preserve"> resource</w:t>
      </w:r>
      <w:r w:rsidR="004A705E" w:rsidRPr="00A169D1">
        <w:rPr>
          <w:rFonts w:eastAsia="MS Mincho"/>
          <w:lang w:val="en-US"/>
        </w:rPr>
        <w:t xml:space="preserve"> reuse across the blocks</w:t>
      </w:r>
      <w:r w:rsidRPr="00E757A8">
        <w:rPr>
          <w:lang w:val="en-US"/>
        </w:rPr>
        <w:t xml:space="preserve"> in these cases</w:t>
      </w:r>
      <w:r w:rsidR="004A705E">
        <w:rPr>
          <w:lang w:val="en-US"/>
        </w:rPr>
        <w:t>; therefore,</w:t>
      </w:r>
      <w:r w:rsidRPr="00E757A8">
        <w:rPr>
          <w:lang w:val="en-US"/>
        </w:rPr>
        <w:t xml:space="preserve"> functionalities that are closely coupled to hardware </w:t>
      </w:r>
      <w:r w:rsidR="004A705E">
        <w:rPr>
          <w:lang w:val="en-US"/>
        </w:rPr>
        <w:t>may not</w:t>
      </w:r>
      <w:r w:rsidRPr="00E757A8">
        <w:rPr>
          <w:lang w:val="en-US"/>
        </w:rPr>
        <w:t xml:space="preserve"> be freely distributed (neither semi-statically, nor dynamically) across the hardware blocks. </w:t>
      </w:r>
    </w:p>
    <w:p w14:paraId="034AE7D8" w14:textId="783C851A" w:rsidR="00E757A8" w:rsidRDefault="00E757A8" w:rsidP="00D53B2B">
      <w:pPr>
        <w:spacing w:after="0"/>
        <w:rPr>
          <w:b/>
          <w:lang w:val="en-US"/>
        </w:rPr>
      </w:pPr>
      <w:r w:rsidRPr="00E757A8">
        <w:rPr>
          <w:lang w:val="en-US"/>
        </w:rPr>
        <w:t>For example,</w:t>
      </w:r>
      <w:r>
        <w:rPr>
          <w:lang w:val="en-US"/>
        </w:rPr>
        <w:t xml:space="preserve"> it would not be possible to configure almost all control search space </w:t>
      </w:r>
      <w:r w:rsidR="004A705E">
        <w:rPr>
          <w:lang w:val="en-US"/>
        </w:rPr>
        <w:t xml:space="preserve">/ blind decodes </w:t>
      </w:r>
      <w:r>
        <w:rPr>
          <w:lang w:val="en-US"/>
        </w:rPr>
        <w:t xml:space="preserve">in one processing block while very few in the other processing block, if </w:t>
      </w:r>
      <w:r w:rsidR="004A705E">
        <w:rPr>
          <w:lang w:val="en-US"/>
        </w:rPr>
        <w:t>the two blocks are designed with approximately equal amount of hardware resources for control decoding. In order to solve this</w:t>
      </w:r>
      <w:r w:rsidR="0083534D">
        <w:rPr>
          <w:lang w:val="en-US"/>
        </w:rPr>
        <w:t xml:space="preserve"> problem</w:t>
      </w:r>
      <w:r w:rsidR="004A705E">
        <w:rPr>
          <w:lang w:val="en-US"/>
        </w:rPr>
        <w:t>, we propose to categorize those capability parameters that are currently defined as ‘across all CCs’ as w</w:t>
      </w:r>
      <w:r w:rsidR="00A54222">
        <w:rPr>
          <w:lang w:val="en-US"/>
        </w:rPr>
        <w:t>he</w:t>
      </w:r>
      <w:r w:rsidR="004A705E">
        <w:rPr>
          <w:lang w:val="en-US"/>
        </w:rPr>
        <w:t xml:space="preserve">ther closely coupled to hardware processing blocks or not. On that basis, we make the following proposal.   </w:t>
      </w:r>
      <w:r>
        <w:rPr>
          <w:b/>
          <w:lang w:val="en-US"/>
        </w:rPr>
        <w:t xml:space="preserve"> </w:t>
      </w:r>
    </w:p>
    <w:p w14:paraId="1920DA91" w14:textId="77777777" w:rsidR="00565314" w:rsidRDefault="00565314" w:rsidP="00D53B2B">
      <w:pPr>
        <w:spacing w:after="0"/>
        <w:rPr>
          <w:rFonts w:eastAsia="MS Mincho"/>
          <w:b/>
          <w:lang w:val="en-US"/>
        </w:rPr>
      </w:pPr>
    </w:p>
    <w:p w14:paraId="10149DFD" w14:textId="5D902B76" w:rsidR="00D53B2B" w:rsidRDefault="00D53B2B" w:rsidP="00D53B2B">
      <w:pPr>
        <w:spacing w:after="0"/>
        <w:rPr>
          <w:rFonts w:eastAsia="MS Mincho"/>
          <w:b/>
          <w:lang w:val="en-US"/>
        </w:rPr>
      </w:pPr>
      <w:r>
        <w:rPr>
          <w:rFonts w:eastAsia="MS Mincho"/>
          <w:b/>
          <w:lang w:val="en-US"/>
        </w:rPr>
        <w:t>Proposal</w:t>
      </w:r>
      <w:r w:rsidR="00565314">
        <w:rPr>
          <w:rFonts w:eastAsia="MS Mincho"/>
          <w:b/>
          <w:lang w:val="en-US"/>
        </w:rPr>
        <w:t xml:space="preserve"> </w:t>
      </w:r>
      <w:r w:rsidR="009D3E8F">
        <w:rPr>
          <w:rFonts w:eastAsia="MS Mincho"/>
          <w:b/>
          <w:lang w:val="en-US"/>
        </w:rPr>
        <w:t>7</w:t>
      </w:r>
      <w:r>
        <w:rPr>
          <w:rFonts w:eastAsia="MS Mincho"/>
          <w:b/>
          <w:lang w:val="en-US"/>
        </w:rPr>
        <w:t xml:space="preserve">: </w:t>
      </w:r>
    </w:p>
    <w:p w14:paraId="01FDBF0B" w14:textId="0DE87E6B" w:rsidR="00D53B2B" w:rsidRDefault="00D53B2B" w:rsidP="00D53B2B">
      <w:pPr>
        <w:spacing w:after="0"/>
        <w:rPr>
          <w:rFonts w:eastAsia="MS Mincho"/>
          <w:b/>
          <w:lang w:val="en-US"/>
        </w:rPr>
      </w:pPr>
      <w:r>
        <w:rPr>
          <w:rFonts w:eastAsia="MS Mincho"/>
          <w:b/>
          <w:lang w:val="en-US"/>
        </w:rPr>
        <w:t>For the capability parameters and components that are present</w:t>
      </w:r>
      <w:r w:rsidR="0033512F">
        <w:rPr>
          <w:rFonts w:eastAsia="MS Mincho"/>
          <w:b/>
          <w:lang w:val="en-US"/>
        </w:rPr>
        <w:t>ly</w:t>
      </w:r>
      <w:r>
        <w:rPr>
          <w:rFonts w:eastAsia="MS Mincho"/>
          <w:b/>
          <w:lang w:val="en-US"/>
        </w:rPr>
        <w:t xml:space="preserve"> defined as ‘across all CC’: </w:t>
      </w:r>
    </w:p>
    <w:p w14:paraId="7E96AB16" w14:textId="77777777" w:rsidR="00D53B2B" w:rsidRDefault="00D53B2B"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synchronous</w:t>
      </w:r>
      <w:r w:rsidRPr="00382A87">
        <w:rPr>
          <w:b/>
          <w:lang w:val="en-US"/>
        </w:rPr>
        <w:t xml:space="preserve"> DC</w:t>
      </w:r>
      <w:r>
        <w:rPr>
          <w:b/>
          <w:lang w:val="en-US"/>
        </w:rPr>
        <w:t>:</w:t>
      </w:r>
      <w:r w:rsidRPr="00382A87">
        <w:rPr>
          <w:b/>
          <w:lang w:val="en-US"/>
        </w:rPr>
        <w:t xml:space="preserve"> </w:t>
      </w:r>
    </w:p>
    <w:p w14:paraId="752E5DA2" w14:textId="77777777" w:rsidR="00D53B2B" w:rsidRDefault="00D53B2B" w:rsidP="00047B9A">
      <w:pPr>
        <w:pStyle w:val="ListParagraph"/>
        <w:numPr>
          <w:ilvl w:val="1"/>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same as in CA</w:t>
      </w:r>
      <w:r w:rsidRPr="00382A87">
        <w:rPr>
          <w:b/>
          <w:lang w:val="en-US"/>
        </w:rPr>
        <w:t>.</w:t>
      </w:r>
    </w:p>
    <w:p w14:paraId="0ECAFD53" w14:textId="77777777" w:rsidR="00D53B2B" w:rsidRDefault="00D53B2B"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asynchronous</w:t>
      </w:r>
      <w:r w:rsidRPr="00382A87">
        <w:rPr>
          <w:b/>
          <w:lang w:val="en-US"/>
        </w:rPr>
        <w:t xml:space="preserve"> DC</w:t>
      </w:r>
      <w:r>
        <w:rPr>
          <w:b/>
          <w:lang w:val="en-US"/>
        </w:rPr>
        <w:t>:</w:t>
      </w:r>
      <w:r w:rsidRPr="00382A87">
        <w:rPr>
          <w:b/>
          <w:lang w:val="en-US"/>
        </w:rPr>
        <w:t xml:space="preserve"> </w:t>
      </w:r>
    </w:p>
    <w:p w14:paraId="1C651B2B" w14:textId="77777777" w:rsidR="00D53B2B" w:rsidRDefault="00D53B2B" w:rsidP="00047B9A">
      <w:pPr>
        <w:pStyle w:val="ListParagraph"/>
        <w:numPr>
          <w:ilvl w:val="1"/>
          <w:numId w:val="6"/>
        </w:numPr>
        <w:spacing w:after="0"/>
        <w:rPr>
          <w:b/>
          <w:lang w:val="en-US"/>
        </w:rPr>
      </w:pPr>
      <w:r>
        <w:rPr>
          <w:b/>
          <w:lang w:val="en-US"/>
        </w:rPr>
        <w:t xml:space="preserve">Define two subtypes of capability parameters: </w:t>
      </w:r>
    </w:p>
    <w:p w14:paraId="6DCFF512" w14:textId="77777777" w:rsidR="00D53B2B" w:rsidRDefault="00D53B2B" w:rsidP="00047B9A">
      <w:pPr>
        <w:pStyle w:val="ListParagraph"/>
        <w:numPr>
          <w:ilvl w:val="2"/>
          <w:numId w:val="6"/>
        </w:numPr>
        <w:spacing w:after="0"/>
        <w:rPr>
          <w:b/>
          <w:lang w:val="en-US"/>
        </w:rPr>
      </w:pPr>
      <w:bookmarkStart w:id="3" w:name="_GoBack"/>
      <w:bookmarkEnd w:id="3"/>
      <w:r>
        <w:rPr>
          <w:b/>
          <w:lang w:val="en-US"/>
        </w:rPr>
        <w:t>Type A capability: Closely coupled to hardware processing blocks, e.g. PDCCH decoding, PDSCH decoding</w:t>
      </w:r>
    </w:p>
    <w:p w14:paraId="5DF99312" w14:textId="23336F69" w:rsidR="00D53B2B" w:rsidRDefault="00D53B2B" w:rsidP="00047B9A">
      <w:pPr>
        <w:pStyle w:val="ListParagraph"/>
        <w:numPr>
          <w:ilvl w:val="3"/>
          <w:numId w:val="6"/>
        </w:numPr>
        <w:spacing w:after="0"/>
        <w:rPr>
          <w:b/>
          <w:lang w:val="en-US"/>
        </w:rPr>
      </w:pPr>
      <w:r>
        <w:rPr>
          <w:b/>
          <w:lang w:val="en-US"/>
        </w:rPr>
        <w:t xml:space="preserve">These capabilities parameters should have bounds defined to target proportional distribution across MCG and SCG, as to alleviate each processing block having to be defined for the worst case. </w:t>
      </w:r>
    </w:p>
    <w:p w14:paraId="4A8C0A28" w14:textId="77777777" w:rsidR="00D53B2B" w:rsidRPr="002F3125" w:rsidRDefault="00D53B2B" w:rsidP="00047B9A">
      <w:pPr>
        <w:pStyle w:val="ListParagraph"/>
        <w:numPr>
          <w:ilvl w:val="4"/>
          <w:numId w:val="6"/>
        </w:numPr>
        <w:spacing w:after="0"/>
        <w:rPr>
          <w:b/>
          <w:lang w:val="en-US"/>
        </w:rPr>
      </w:pPr>
      <w:r>
        <w:rPr>
          <w:b/>
          <w:lang w:val="en-US"/>
        </w:rPr>
        <w:t>Similar solutions are being considered for example for control blind decoding with different numerologies in CA. The same solution should be applied to DC for both different and same numerologies</w:t>
      </w:r>
    </w:p>
    <w:p w14:paraId="796E7A98" w14:textId="77777777" w:rsidR="00D53B2B" w:rsidRDefault="00D53B2B" w:rsidP="00047B9A">
      <w:pPr>
        <w:pStyle w:val="ListParagraph"/>
        <w:numPr>
          <w:ilvl w:val="2"/>
          <w:numId w:val="6"/>
        </w:numPr>
        <w:spacing w:after="0"/>
        <w:rPr>
          <w:b/>
          <w:lang w:val="en-US"/>
        </w:rPr>
      </w:pPr>
      <w:r>
        <w:rPr>
          <w:b/>
          <w:lang w:val="en-US"/>
        </w:rPr>
        <w:t>Type B capability: Not closely coupled to hardware processing blocks, e.g. CSI calculation</w:t>
      </w:r>
    </w:p>
    <w:p w14:paraId="1E61FFCC" w14:textId="77777777" w:rsidR="00D53B2B" w:rsidRDefault="00D53B2B" w:rsidP="00047B9A">
      <w:pPr>
        <w:pStyle w:val="ListParagraph"/>
        <w:numPr>
          <w:ilvl w:val="3"/>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xml:space="preserve">, same as in CA </w:t>
      </w:r>
    </w:p>
    <w:p w14:paraId="16C21967" w14:textId="77777777" w:rsidR="00D53B2B" w:rsidRDefault="00D53B2B" w:rsidP="001C19DF">
      <w:pPr>
        <w:spacing w:after="0"/>
        <w:rPr>
          <w:rFonts w:eastAsia="MS Mincho"/>
          <w:lang w:val="en-US"/>
        </w:rPr>
      </w:pPr>
    </w:p>
    <w:p w14:paraId="58EF566D" w14:textId="77777777" w:rsidR="00D761F2" w:rsidRDefault="00D761F2" w:rsidP="001C19DF">
      <w:pPr>
        <w:spacing w:after="0"/>
        <w:rPr>
          <w:rFonts w:eastAsia="MS Mincho"/>
          <w:lang w:val="en-US"/>
        </w:rPr>
      </w:pPr>
    </w:p>
    <w:p w14:paraId="3A4FB463" w14:textId="77777777" w:rsidR="00CB16FB" w:rsidRPr="00DD3C8B" w:rsidRDefault="00CB16FB" w:rsidP="00D761F2">
      <w:pPr>
        <w:pStyle w:val="Heading1"/>
        <w:rPr>
          <w:rFonts w:cs="Arial"/>
        </w:rPr>
      </w:pPr>
      <w:r w:rsidRPr="00D761F2">
        <w:t>Conclusions</w:t>
      </w:r>
    </w:p>
    <w:p w14:paraId="1EC809FE" w14:textId="216D458D" w:rsidR="00CB16FB" w:rsidRDefault="00CB16FB" w:rsidP="00CB16FB">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proposals</w:t>
      </w:r>
      <w:r>
        <w:rPr>
          <w:lang w:val="en-US"/>
        </w:rPr>
        <w:t xml:space="preserve"> have been made:</w:t>
      </w:r>
    </w:p>
    <w:p w14:paraId="60342524" w14:textId="72B5B5E5" w:rsidR="0050559A" w:rsidRDefault="0050559A" w:rsidP="0050559A">
      <w:pPr>
        <w:spacing w:after="0"/>
        <w:rPr>
          <w:rFonts w:eastAsia="MS Mincho"/>
          <w:b/>
          <w:lang w:val="en-US"/>
        </w:rPr>
      </w:pPr>
      <w:r>
        <w:rPr>
          <w:rFonts w:eastAsia="MS Mincho"/>
          <w:b/>
          <w:lang w:val="en-US"/>
        </w:rPr>
        <w:t xml:space="preserve">Proposal </w:t>
      </w:r>
      <w:r w:rsidR="009D3E8F">
        <w:rPr>
          <w:rFonts w:eastAsia="MS Mincho"/>
          <w:b/>
          <w:lang w:val="en-US"/>
        </w:rPr>
        <w:t>1</w:t>
      </w:r>
      <w:r>
        <w:rPr>
          <w:rFonts w:eastAsia="MS Mincho"/>
          <w:b/>
          <w:lang w:val="en-US"/>
        </w:rPr>
        <w:t xml:space="preserve">: </w:t>
      </w:r>
    </w:p>
    <w:p w14:paraId="4B81B16A" w14:textId="46025D6F" w:rsidR="0050559A" w:rsidRDefault="006924A9" w:rsidP="0050559A">
      <w:pPr>
        <w:spacing w:after="0"/>
        <w:rPr>
          <w:rFonts w:eastAsia="MS Mincho"/>
          <w:b/>
          <w:lang w:val="en-US"/>
        </w:rPr>
      </w:pPr>
      <w:r>
        <w:rPr>
          <w:rFonts w:eastAsia="MS Mincho"/>
          <w:b/>
          <w:lang w:val="en-US"/>
        </w:rPr>
        <w:t xml:space="preserve">No need to </w:t>
      </w:r>
      <w:r w:rsidR="00121013">
        <w:rPr>
          <w:rFonts w:eastAsia="MS Mincho"/>
          <w:b/>
          <w:lang w:val="en-US"/>
        </w:rPr>
        <w:t xml:space="preserve">define </w:t>
      </w:r>
      <w:r>
        <w:rPr>
          <w:rFonts w:eastAsia="MS Mincho"/>
          <w:b/>
          <w:lang w:val="en-US"/>
        </w:rPr>
        <w:t xml:space="preserve">support </w:t>
      </w:r>
      <w:r w:rsidR="00121013">
        <w:rPr>
          <w:rFonts w:eastAsia="MS Mincho"/>
          <w:b/>
          <w:lang w:val="en-US"/>
        </w:rPr>
        <w:t xml:space="preserve">for </w:t>
      </w:r>
      <w:r>
        <w:rPr>
          <w:rFonts w:eastAsia="MS Mincho"/>
          <w:b/>
          <w:lang w:val="en-US"/>
        </w:rPr>
        <w:t>NR-NR DC with intra-band contiguous CCs where some CCs are in MCG, some other CCs in the same band are in SCG</w:t>
      </w:r>
      <w:r w:rsidR="0050559A">
        <w:rPr>
          <w:rFonts w:eastAsia="MS Mincho"/>
          <w:b/>
          <w:lang w:val="en-US"/>
        </w:rPr>
        <w:t>.</w:t>
      </w:r>
    </w:p>
    <w:p w14:paraId="4CC85383" w14:textId="3C389BB0" w:rsidR="00B65419" w:rsidRDefault="00B65419" w:rsidP="005206DF">
      <w:pPr>
        <w:spacing w:after="0"/>
        <w:rPr>
          <w:rFonts w:eastAsia="MS Mincho"/>
          <w:b/>
          <w:lang w:val="en-US"/>
        </w:rPr>
      </w:pPr>
    </w:p>
    <w:p w14:paraId="0E824D9B" w14:textId="77777777" w:rsidR="00DF7132" w:rsidRDefault="00DF7132" w:rsidP="006924A9">
      <w:pPr>
        <w:spacing w:after="0"/>
        <w:rPr>
          <w:rFonts w:eastAsia="MS Mincho"/>
          <w:b/>
          <w:lang w:val="en-US"/>
        </w:rPr>
      </w:pPr>
      <w:bookmarkStart w:id="4" w:name="_Hlk522788952"/>
    </w:p>
    <w:p w14:paraId="5514EFA2" w14:textId="77777777" w:rsidR="00DF7132" w:rsidRDefault="00DF7132" w:rsidP="006924A9">
      <w:pPr>
        <w:spacing w:after="0"/>
        <w:rPr>
          <w:rFonts w:eastAsia="MS Mincho"/>
          <w:b/>
          <w:lang w:val="en-US"/>
        </w:rPr>
      </w:pPr>
    </w:p>
    <w:p w14:paraId="6809FF04" w14:textId="37E7DCF8" w:rsidR="006924A9" w:rsidRDefault="00B65419" w:rsidP="006924A9">
      <w:pPr>
        <w:spacing w:after="0"/>
        <w:rPr>
          <w:rFonts w:eastAsia="MS Mincho"/>
          <w:b/>
          <w:lang w:val="en-US"/>
        </w:rPr>
      </w:pPr>
      <w:r>
        <w:rPr>
          <w:rFonts w:eastAsia="MS Mincho"/>
          <w:b/>
          <w:lang w:val="en-US"/>
        </w:rPr>
        <w:lastRenderedPageBreak/>
        <w:t xml:space="preserve">Proposal </w:t>
      </w:r>
      <w:r w:rsidR="009D3E8F">
        <w:rPr>
          <w:rFonts w:eastAsia="MS Mincho"/>
          <w:b/>
          <w:lang w:val="en-US"/>
        </w:rPr>
        <w:t>2</w:t>
      </w:r>
      <w:r>
        <w:rPr>
          <w:rFonts w:eastAsia="MS Mincho"/>
          <w:b/>
          <w:lang w:val="en-US"/>
        </w:rPr>
        <w:t xml:space="preserve">: </w:t>
      </w:r>
    </w:p>
    <w:p w14:paraId="7396B2C5" w14:textId="4F3B9B06" w:rsidR="00803278" w:rsidRDefault="00121013" w:rsidP="005206DF">
      <w:pPr>
        <w:spacing w:after="0"/>
        <w:rPr>
          <w:rFonts w:eastAsia="MS Mincho"/>
          <w:b/>
          <w:lang w:val="en-US"/>
        </w:rPr>
      </w:pPr>
      <w:r>
        <w:rPr>
          <w:rFonts w:eastAsia="MS Mincho"/>
          <w:b/>
          <w:lang w:val="en-US"/>
        </w:rPr>
        <w:t xml:space="preserve">There should be a differentiation between synchronous DC and asynchronous DC from the capability signaling perspective. </w:t>
      </w:r>
      <w:r w:rsidR="006924A9">
        <w:rPr>
          <w:rFonts w:eastAsia="MS Mincho"/>
          <w:b/>
          <w:lang w:val="en-US"/>
        </w:rPr>
        <w:t xml:space="preserve">The signaling should enable </w:t>
      </w:r>
      <w:r>
        <w:rPr>
          <w:rFonts w:eastAsia="MS Mincho"/>
          <w:b/>
          <w:lang w:val="en-US"/>
        </w:rPr>
        <w:t xml:space="preserve">signaling </w:t>
      </w:r>
      <w:r w:rsidR="006924A9">
        <w:rPr>
          <w:rFonts w:eastAsia="MS Mincho"/>
          <w:b/>
          <w:lang w:val="en-US"/>
        </w:rPr>
        <w:t>support of synchronous DC and no support of asynchronous DC in the same band combination</w:t>
      </w:r>
      <w:r w:rsidR="00803278">
        <w:rPr>
          <w:rFonts w:eastAsia="MS Mincho"/>
          <w:b/>
          <w:lang w:val="en-US"/>
        </w:rPr>
        <w:t>.</w:t>
      </w:r>
    </w:p>
    <w:p w14:paraId="18110198" w14:textId="67CE9AE1" w:rsidR="00803278" w:rsidRDefault="00803278" w:rsidP="005206DF">
      <w:pPr>
        <w:spacing w:after="0"/>
        <w:rPr>
          <w:rFonts w:eastAsia="MS Mincho"/>
          <w:b/>
          <w:lang w:val="en-US"/>
        </w:rPr>
      </w:pPr>
    </w:p>
    <w:p w14:paraId="4B59B8CA" w14:textId="142BA8D9" w:rsidR="00565314" w:rsidRDefault="00565314" w:rsidP="00565314">
      <w:pPr>
        <w:spacing w:after="0"/>
        <w:rPr>
          <w:rFonts w:eastAsia="MS Mincho"/>
          <w:b/>
          <w:lang w:val="en-US"/>
        </w:rPr>
      </w:pPr>
      <w:r>
        <w:rPr>
          <w:rFonts w:eastAsia="MS Mincho"/>
          <w:b/>
          <w:lang w:val="en-US"/>
        </w:rPr>
        <w:t xml:space="preserve">Proposal </w:t>
      </w:r>
      <w:r w:rsidR="009D3E8F">
        <w:rPr>
          <w:rFonts w:eastAsia="MS Mincho"/>
          <w:b/>
          <w:lang w:val="en-US"/>
        </w:rPr>
        <w:t>3</w:t>
      </w:r>
      <w:r>
        <w:rPr>
          <w:rFonts w:eastAsia="MS Mincho"/>
          <w:b/>
          <w:lang w:val="en-US"/>
        </w:rPr>
        <w:t xml:space="preserve">: </w:t>
      </w:r>
    </w:p>
    <w:p w14:paraId="4C130742" w14:textId="77777777" w:rsidR="00565314" w:rsidRPr="00B03EE8" w:rsidRDefault="00565314" w:rsidP="00565314">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 t</w:t>
      </w:r>
      <w:r w:rsidRPr="00B03EE8">
        <w:rPr>
          <w:b/>
          <w:lang w:val="en-US"/>
        </w:rPr>
        <w:t>he same capability signaling structure can be reused for DC as for CA.</w:t>
      </w:r>
    </w:p>
    <w:p w14:paraId="435C1C33" w14:textId="77777777" w:rsidR="00565314" w:rsidRDefault="00565314" w:rsidP="00565314">
      <w:pPr>
        <w:spacing w:after="0"/>
        <w:rPr>
          <w:rFonts w:eastAsia="MS Mincho"/>
          <w:b/>
          <w:lang w:val="en-US"/>
        </w:rPr>
      </w:pPr>
    </w:p>
    <w:p w14:paraId="3FB29EC1" w14:textId="1B1C1D40" w:rsidR="00565314" w:rsidRDefault="00565314" w:rsidP="00565314">
      <w:pPr>
        <w:spacing w:after="0"/>
        <w:rPr>
          <w:rFonts w:eastAsia="MS Mincho"/>
          <w:b/>
          <w:lang w:val="en-US"/>
        </w:rPr>
      </w:pPr>
      <w:r>
        <w:rPr>
          <w:rFonts w:eastAsia="MS Mincho"/>
          <w:b/>
          <w:lang w:val="en-US"/>
        </w:rPr>
        <w:t xml:space="preserve">Proposal </w:t>
      </w:r>
      <w:r w:rsidR="009D3E8F">
        <w:rPr>
          <w:rFonts w:eastAsia="MS Mincho"/>
          <w:b/>
          <w:lang w:val="en-US"/>
        </w:rPr>
        <w:t>4</w:t>
      </w:r>
      <w:r>
        <w:rPr>
          <w:rFonts w:eastAsia="MS Mincho"/>
          <w:b/>
          <w:lang w:val="en-US"/>
        </w:rPr>
        <w:t xml:space="preserve">: </w:t>
      </w:r>
    </w:p>
    <w:p w14:paraId="42811DDE" w14:textId="77777777" w:rsidR="00565314" w:rsidRPr="00B03EE8" w:rsidRDefault="00565314" w:rsidP="00565314">
      <w:pPr>
        <w:spacing w:after="0"/>
        <w:rPr>
          <w:rFonts w:eastAsia="MS Mincho"/>
          <w:b/>
          <w:lang w:val="en-US"/>
        </w:rPr>
      </w:pPr>
      <w:r>
        <w:rPr>
          <w:rFonts w:eastAsia="MS Mincho"/>
          <w:b/>
          <w:lang w:val="en-US"/>
        </w:rPr>
        <w:t xml:space="preserve">For the capability parameters and components that are presently </w:t>
      </w:r>
      <w:r w:rsidRPr="00382A87">
        <w:rPr>
          <w:rFonts w:eastAsia="MS Mincho"/>
          <w:b/>
          <w:u w:val="single"/>
          <w:lang w:val="en-US"/>
        </w:rPr>
        <w:t>not</w:t>
      </w:r>
      <w:r>
        <w:rPr>
          <w:rFonts w:eastAsia="MS Mincho"/>
          <w:b/>
          <w:lang w:val="en-US"/>
        </w:rPr>
        <w:t xml:space="preserve"> defined as ‘across all CC’ and that are of</w:t>
      </w:r>
      <w:r w:rsidRPr="00B03EE8">
        <w:rPr>
          <w:b/>
          <w:lang w:val="en-US"/>
        </w:rPr>
        <w:t xml:space="preserve"> Type 3 (per band per band combination), the same band combinations need to be</w:t>
      </w:r>
      <w:r>
        <w:rPr>
          <w:b/>
          <w:lang w:val="en-US"/>
        </w:rPr>
        <w:t xml:space="preserve"> allowed to be</w:t>
      </w:r>
      <w:r w:rsidRPr="00B03EE8">
        <w:rPr>
          <w:b/>
          <w:lang w:val="en-US"/>
        </w:rPr>
        <w:t xml:space="preserve"> listed separately for CA and DC with allowing different capability contents.</w:t>
      </w:r>
    </w:p>
    <w:p w14:paraId="5189E03C" w14:textId="0D54AC47" w:rsidR="00803278" w:rsidRDefault="00803278" w:rsidP="005206DF">
      <w:pPr>
        <w:spacing w:after="0"/>
        <w:rPr>
          <w:rFonts w:eastAsia="MS Mincho"/>
          <w:b/>
          <w:lang w:val="en-US"/>
        </w:rPr>
      </w:pPr>
    </w:p>
    <w:p w14:paraId="56FA183C" w14:textId="73092694" w:rsidR="00121013" w:rsidRDefault="00121013" w:rsidP="00121013">
      <w:pPr>
        <w:spacing w:after="0"/>
        <w:rPr>
          <w:rFonts w:eastAsia="MS Mincho"/>
          <w:b/>
          <w:lang w:val="en-US"/>
        </w:rPr>
      </w:pPr>
      <w:r>
        <w:rPr>
          <w:rFonts w:eastAsia="MS Mincho"/>
          <w:b/>
          <w:lang w:val="en-US"/>
        </w:rPr>
        <w:t xml:space="preserve">Proposal </w:t>
      </w:r>
      <w:r w:rsidR="009D3E8F">
        <w:rPr>
          <w:rFonts w:eastAsia="MS Mincho"/>
          <w:b/>
          <w:lang w:val="en-US"/>
        </w:rPr>
        <w:t>5</w:t>
      </w:r>
      <w:r>
        <w:rPr>
          <w:rFonts w:eastAsia="MS Mincho"/>
          <w:b/>
          <w:lang w:val="en-US"/>
        </w:rPr>
        <w:t xml:space="preserve">: </w:t>
      </w:r>
    </w:p>
    <w:p w14:paraId="0812DADF" w14:textId="0CA1A640" w:rsidR="00121013" w:rsidRPr="00121013" w:rsidRDefault="00121013" w:rsidP="00121013">
      <w:pPr>
        <w:spacing w:after="0"/>
        <w:rPr>
          <w:rFonts w:eastAsia="MS Mincho"/>
          <w:b/>
          <w:lang w:val="en-US"/>
        </w:rPr>
      </w:pPr>
      <w:r>
        <w:rPr>
          <w:rFonts w:eastAsia="MS Mincho"/>
          <w:b/>
          <w:lang w:val="en-US"/>
        </w:rPr>
        <w:t xml:space="preserve">For the capability parameters and components that are presently defined as ‘across all CC’: </w:t>
      </w:r>
      <w:r w:rsidRPr="00121013">
        <w:rPr>
          <w:b/>
          <w:lang w:val="en-US"/>
        </w:rPr>
        <w:t xml:space="preserve"> </w:t>
      </w:r>
    </w:p>
    <w:p w14:paraId="56634B64" w14:textId="77777777" w:rsidR="00121013" w:rsidRDefault="00121013" w:rsidP="00047B9A">
      <w:pPr>
        <w:pStyle w:val="ListParagraph"/>
        <w:numPr>
          <w:ilvl w:val="0"/>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Pr="00382A87">
        <w:rPr>
          <w:b/>
          <w:lang w:val="en-US"/>
        </w:rPr>
        <w:t xml:space="preserve"> </w:t>
      </w:r>
      <w:r>
        <w:rPr>
          <w:b/>
          <w:lang w:val="en-US"/>
        </w:rPr>
        <w:t xml:space="preserve">should </w:t>
      </w:r>
      <w:r w:rsidRPr="00382A87">
        <w:rPr>
          <w:b/>
          <w:lang w:val="en-US"/>
        </w:rPr>
        <w:t>be defined as ‘across all CCs and across MCG and SCG’.</w:t>
      </w:r>
    </w:p>
    <w:p w14:paraId="2AB40394" w14:textId="77777777" w:rsidR="00121013" w:rsidRDefault="00121013" w:rsidP="00382A87">
      <w:pPr>
        <w:spacing w:after="0"/>
        <w:rPr>
          <w:rFonts w:eastAsia="MS Mincho"/>
          <w:b/>
          <w:lang w:val="en-US"/>
        </w:rPr>
      </w:pPr>
    </w:p>
    <w:p w14:paraId="010E9A45" w14:textId="1B62FC2C" w:rsidR="00382A87" w:rsidRDefault="00382A87" w:rsidP="00382A87">
      <w:pPr>
        <w:spacing w:after="0"/>
        <w:rPr>
          <w:rFonts w:eastAsia="MS Mincho"/>
          <w:b/>
          <w:lang w:val="en-US"/>
        </w:rPr>
      </w:pPr>
      <w:r>
        <w:rPr>
          <w:rFonts w:eastAsia="MS Mincho"/>
          <w:b/>
          <w:lang w:val="en-US"/>
        </w:rPr>
        <w:t xml:space="preserve">Proposal </w:t>
      </w:r>
      <w:r w:rsidR="009D3E8F">
        <w:rPr>
          <w:rFonts w:eastAsia="MS Mincho"/>
          <w:b/>
          <w:lang w:val="en-US"/>
        </w:rPr>
        <w:t>6</w:t>
      </w:r>
      <w:r>
        <w:rPr>
          <w:rFonts w:eastAsia="MS Mincho"/>
          <w:b/>
          <w:lang w:val="en-US"/>
        </w:rPr>
        <w:t xml:space="preserve">: </w:t>
      </w:r>
    </w:p>
    <w:p w14:paraId="28410CBA" w14:textId="4E68C42F" w:rsidR="00382A87" w:rsidRDefault="00382A87" w:rsidP="00382A87">
      <w:pPr>
        <w:spacing w:after="0"/>
        <w:rPr>
          <w:rFonts w:eastAsia="MS Mincho"/>
          <w:b/>
          <w:lang w:val="en-US"/>
        </w:rPr>
      </w:pPr>
      <w:r>
        <w:rPr>
          <w:rFonts w:eastAsia="MS Mincho"/>
          <w:b/>
          <w:lang w:val="en-US"/>
        </w:rPr>
        <w:t xml:space="preserve">For the </w:t>
      </w:r>
      <w:r w:rsidR="00121013">
        <w:rPr>
          <w:rFonts w:eastAsia="MS Mincho"/>
          <w:b/>
          <w:lang w:val="en-US"/>
        </w:rPr>
        <w:t xml:space="preserve">capability </w:t>
      </w:r>
      <w:r>
        <w:rPr>
          <w:rFonts w:eastAsia="MS Mincho"/>
          <w:b/>
          <w:lang w:val="en-US"/>
        </w:rPr>
        <w:t>parameters and components that are present</w:t>
      </w:r>
      <w:r w:rsidR="00121013">
        <w:rPr>
          <w:rFonts w:eastAsia="MS Mincho"/>
          <w:b/>
          <w:lang w:val="en-US"/>
        </w:rPr>
        <w:t>ly</w:t>
      </w:r>
      <w:r>
        <w:rPr>
          <w:rFonts w:eastAsia="MS Mincho"/>
          <w:b/>
          <w:lang w:val="en-US"/>
        </w:rPr>
        <w:t xml:space="preserve"> defined as ‘across all CC’: </w:t>
      </w:r>
    </w:p>
    <w:p w14:paraId="1258CE56" w14:textId="5E5AD318" w:rsidR="00382A87" w:rsidRDefault="00382A87" w:rsidP="00047B9A">
      <w:pPr>
        <w:pStyle w:val="ListParagraph"/>
        <w:numPr>
          <w:ilvl w:val="0"/>
          <w:numId w:val="6"/>
        </w:numPr>
        <w:spacing w:after="0"/>
        <w:rPr>
          <w:b/>
          <w:lang w:val="en-US"/>
        </w:rPr>
      </w:pPr>
      <w:r>
        <w:rPr>
          <w:b/>
          <w:lang w:val="en-US"/>
        </w:rPr>
        <w:t xml:space="preserve">If there is any mandatory minimum value defined for ‘across all CCs’, the same mandatory minimum should apply to </w:t>
      </w:r>
      <w:r w:rsidRPr="00382A87">
        <w:rPr>
          <w:b/>
          <w:lang w:val="en-US"/>
        </w:rPr>
        <w:t xml:space="preserve">‘across all CCs and across MCG and SCG’. </w:t>
      </w:r>
    </w:p>
    <w:p w14:paraId="52356464" w14:textId="77777777" w:rsidR="006F18EC" w:rsidRDefault="006F18EC" w:rsidP="00382A87">
      <w:pPr>
        <w:spacing w:after="0"/>
        <w:rPr>
          <w:rFonts w:eastAsia="MS Mincho"/>
          <w:b/>
          <w:lang w:val="en-US"/>
        </w:rPr>
      </w:pPr>
    </w:p>
    <w:p w14:paraId="79864D41" w14:textId="010760EE" w:rsidR="00382A87" w:rsidRDefault="00382A87" w:rsidP="00382A87">
      <w:pPr>
        <w:spacing w:after="0"/>
        <w:rPr>
          <w:rFonts w:eastAsia="MS Mincho"/>
          <w:b/>
          <w:lang w:val="en-US"/>
        </w:rPr>
      </w:pPr>
      <w:r>
        <w:rPr>
          <w:rFonts w:eastAsia="MS Mincho"/>
          <w:b/>
          <w:lang w:val="en-US"/>
        </w:rPr>
        <w:t xml:space="preserve">Proposal </w:t>
      </w:r>
      <w:r w:rsidR="009D3E8F">
        <w:rPr>
          <w:rFonts w:eastAsia="MS Mincho"/>
          <w:b/>
          <w:lang w:val="en-US"/>
        </w:rPr>
        <w:t>7</w:t>
      </w:r>
      <w:r>
        <w:rPr>
          <w:rFonts w:eastAsia="MS Mincho"/>
          <w:b/>
          <w:lang w:val="en-US"/>
        </w:rPr>
        <w:t xml:space="preserve">: </w:t>
      </w:r>
    </w:p>
    <w:p w14:paraId="304EB791" w14:textId="6BCDCC91" w:rsidR="00382A87" w:rsidRDefault="00382A87" w:rsidP="00382A87">
      <w:pPr>
        <w:spacing w:after="0"/>
        <w:rPr>
          <w:rFonts w:eastAsia="MS Mincho"/>
          <w:b/>
          <w:lang w:val="en-US"/>
        </w:rPr>
      </w:pPr>
      <w:r>
        <w:rPr>
          <w:rFonts w:eastAsia="MS Mincho"/>
          <w:b/>
          <w:lang w:val="en-US"/>
        </w:rPr>
        <w:t>For the capability parameters and components that are present</w:t>
      </w:r>
      <w:r w:rsidR="0033512F">
        <w:rPr>
          <w:rFonts w:eastAsia="MS Mincho"/>
          <w:b/>
          <w:lang w:val="en-US"/>
        </w:rPr>
        <w:t>ly</w:t>
      </w:r>
      <w:r>
        <w:rPr>
          <w:rFonts w:eastAsia="MS Mincho"/>
          <w:b/>
          <w:lang w:val="en-US"/>
        </w:rPr>
        <w:t xml:space="preserve"> defined as ‘across all CC’: </w:t>
      </w:r>
    </w:p>
    <w:p w14:paraId="56E50061" w14:textId="77777777" w:rsidR="00382A87" w:rsidRDefault="00382A87"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synchronous</w:t>
      </w:r>
      <w:r w:rsidRPr="00382A87">
        <w:rPr>
          <w:b/>
          <w:lang w:val="en-US"/>
        </w:rPr>
        <w:t xml:space="preserve"> DC</w:t>
      </w:r>
      <w:r>
        <w:rPr>
          <w:b/>
          <w:lang w:val="en-US"/>
        </w:rPr>
        <w:t>:</w:t>
      </w:r>
      <w:r w:rsidRPr="00382A87">
        <w:rPr>
          <w:b/>
          <w:lang w:val="en-US"/>
        </w:rPr>
        <w:t xml:space="preserve"> </w:t>
      </w:r>
    </w:p>
    <w:p w14:paraId="6292163C" w14:textId="3E765163" w:rsidR="00382A87" w:rsidRDefault="00382A87" w:rsidP="00047B9A">
      <w:pPr>
        <w:pStyle w:val="ListParagraph"/>
        <w:numPr>
          <w:ilvl w:val="1"/>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capability parameters</w:t>
      </w:r>
      <w:r w:rsidR="00121013">
        <w:rPr>
          <w:b/>
          <w:lang w:val="en-US"/>
        </w:rPr>
        <w:t xml:space="preserve"> can be freely distributed across the CGs by </w:t>
      </w:r>
      <w:r w:rsidR="00005549">
        <w:rPr>
          <w:b/>
          <w:lang w:val="en-US"/>
        </w:rPr>
        <w:t xml:space="preserve">UE </w:t>
      </w:r>
      <w:r w:rsidR="00121013">
        <w:rPr>
          <w:b/>
          <w:lang w:val="en-US"/>
        </w:rPr>
        <w:t>configuration</w:t>
      </w:r>
      <w:r w:rsidR="00005549">
        <w:rPr>
          <w:b/>
          <w:lang w:val="en-US"/>
        </w:rPr>
        <w:t xml:space="preserve"> by the </w:t>
      </w:r>
      <w:proofErr w:type="spellStart"/>
      <w:r w:rsidR="00005549">
        <w:rPr>
          <w:b/>
          <w:lang w:val="en-US"/>
        </w:rPr>
        <w:t>gNB</w:t>
      </w:r>
      <w:proofErr w:type="spellEnd"/>
      <w:r w:rsidR="00121013">
        <w:rPr>
          <w:b/>
          <w:lang w:val="en-US"/>
        </w:rPr>
        <w:t>, same as in CA</w:t>
      </w:r>
      <w:r w:rsidRPr="00382A87">
        <w:rPr>
          <w:b/>
          <w:lang w:val="en-US"/>
        </w:rPr>
        <w:t>.</w:t>
      </w:r>
    </w:p>
    <w:p w14:paraId="1B312C23" w14:textId="166B962A" w:rsidR="00382A87" w:rsidRDefault="00382A87" w:rsidP="00047B9A">
      <w:pPr>
        <w:pStyle w:val="ListParagraph"/>
        <w:numPr>
          <w:ilvl w:val="0"/>
          <w:numId w:val="6"/>
        </w:numPr>
        <w:spacing w:after="0"/>
        <w:rPr>
          <w:b/>
          <w:lang w:val="en-US"/>
        </w:rPr>
      </w:pPr>
      <w:r w:rsidRPr="00382A87">
        <w:rPr>
          <w:b/>
          <w:lang w:val="en-US"/>
        </w:rPr>
        <w:t xml:space="preserve">For the case of </w:t>
      </w:r>
      <w:r w:rsidRPr="00121013">
        <w:rPr>
          <w:b/>
          <w:u w:val="single"/>
          <w:lang w:val="en-US"/>
        </w:rPr>
        <w:t>asynchronous</w:t>
      </w:r>
      <w:r w:rsidRPr="00382A87">
        <w:rPr>
          <w:b/>
          <w:lang w:val="en-US"/>
        </w:rPr>
        <w:t xml:space="preserve"> DC</w:t>
      </w:r>
      <w:r>
        <w:rPr>
          <w:b/>
          <w:lang w:val="en-US"/>
        </w:rPr>
        <w:t>:</w:t>
      </w:r>
      <w:r w:rsidRPr="00382A87">
        <w:rPr>
          <w:b/>
          <w:lang w:val="en-US"/>
        </w:rPr>
        <w:t xml:space="preserve"> </w:t>
      </w:r>
    </w:p>
    <w:p w14:paraId="3C1BA0ED" w14:textId="77777777" w:rsidR="00121013" w:rsidRDefault="00121013" w:rsidP="00047B9A">
      <w:pPr>
        <w:pStyle w:val="ListParagraph"/>
        <w:numPr>
          <w:ilvl w:val="1"/>
          <w:numId w:val="6"/>
        </w:numPr>
        <w:spacing w:after="0"/>
        <w:rPr>
          <w:b/>
          <w:lang w:val="en-US"/>
        </w:rPr>
      </w:pPr>
      <w:r>
        <w:rPr>
          <w:b/>
          <w:lang w:val="en-US"/>
        </w:rPr>
        <w:t xml:space="preserve">Define two subtypes of capability parameters: </w:t>
      </w:r>
    </w:p>
    <w:p w14:paraId="6497C9BB" w14:textId="1CBA72A3" w:rsidR="00121013" w:rsidRDefault="00121013" w:rsidP="00047B9A">
      <w:pPr>
        <w:pStyle w:val="ListParagraph"/>
        <w:numPr>
          <w:ilvl w:val="2"/>
          <w:numId w:val="6"/>
        </w:numPr>
        <w:spacing w:after="0"/>
        <w:rPr>
          <w:b/>
          <w:lang w:val="en-US"/>
        </w:rPr>
      </w:pPr>
      <w:r>
        <w:rPr>
          <w:b/>
          <w:lang w:val="en-US"/>
        </w:rPr>
        <w:t xml:space="preserve">Type A capability: Closely </w:t>
      </w:r>
      <w:r w:rsidR="002F3125">
        <w:rPr>
          <w:b/>
          <w:lang w:val="en-US"/>
        </w:rPr>
        <w:t>coupled to hardware processing blocks, e.g. PDCCH decoding, PDSCH decoding</w:t>
      </w:r>
    </w:p>
    <w:p w14:paraId="715D6945" w14:textId="4E906A28" w:rsidR="002F3125" w:rsidRDefault="002F3125" w:rsidP="00047B9A">
      <w:pPr>
        <w:pStyle w:val="ListParagraph"/>
        <w:numPr>
          <w:ilvl w:val="3"/>
          <w:numId w:val="6"/>
        </w:numPr>
        <w:spacing w:after="0"/>
        <w:rPr>
          <w:b/>
          <w:lang w:val="en-US"/>
        </w:rPr>
      </w:pPr>
      <w:r>
        <w:rPr>
          <w:b/>
          <w:lang w:val="en-US"/>
        </w:rPr>
        <w:t xml:space="preserve">These capabilities </w:t>
      </w:r>
      <w:r w:rsidR="00005549">
        <w:rPr>
          <w:b/>
          <w:lang w:val="en-US"/>
        </w:rPr>
        <w:t xml:space="preserve">parameters should have bounds defined to target proportional distribution across MCG and SCG, </w:t>
      </w:r>
      <w:proofErr w:type="gramStart"/>
      <w:r w:rsidR="00005549">
        <w:rPr>
          <w:b/>
          <w:lang w:val="en-US"/>
        </w:rPr>
        <w:t>so as to</w:t>
      </w:r>
      <w:proofErr w:type="gramEnd"/>
      <w:r w:rsidR="00005549">
        <w:rPr>
          <w:b/>
          <w:lang w:val="en-US"/>
        </w:rPr>
        <w:t xml:space="preserve"> alleviate each processing block having to be defined for the worst case. </w:t>
      </w:r>
    </w:p>
    <w:p w14:paraId="15456C81" w14:textId="3A764FCD" w:rsidR="00005549" w:rsidRPr="002F3125" w:rsidRDefault="00005549" w:rsidP="00047B9A">
      <w:pPr>
        <w:pStyle w:val="ListParagraph"/>
        <w:numPr>
          <w:ilvl w:val="4"/>
          <w:numId w:val="6"/>
        </w:numPr>
        <w:spacing w:after="0"/>
        <w:rPr>
          <w:b/>
          <w:lang w:val="en-US"/>
        </w:rPr>
      </w:pPr>
      <w:r>
        <w:rPr>
          <w:b/>
          <w:lang w:val="en-US"/>
        </w:rPr>
        <w:t>Similar solutions are being considered for example for control blind decoding with different numerologies</w:t>
      </w:r>
      <w:r w:rsidR="001C6F10">
        <w:rPr>
          <w:b/>
          <w:lang w:val="en-US"/>
        </w:rPr>
        <w:t xml:space="preserve"> in CA</w:t>
      </w:r>
      <w:r>
        <w:rPr>
          <w:b/>
          <w:lang w:val="en-US"/>
        </w:rPr>
        <w:t>. The same solution should be applied to DC for both different and same numerologies</w:t>
      </w:r>
    </w:p>
    <w:p w14:paraId="4ED5485B" w14:textId="0CA3FBE4" w:rsidR="002F3125" w:rsidRDefault="002F3125" w:rsidP="00047B9A">
      <w:pPr>
        <w:pStyle w:val="ListParagraph"/>
        <w:numPr>
          <w:ilvl w:val="2"/>
          <w:numId w:val="6"/>
        </w:numPr>
        <w:spacing w:after="0"/>
        <w:rPr>
          <w:b/>
          <w:lang w:val="en-US"/>
        </w:rPr>
      </w:pPr>
      <w:r>
        <w:rPr>
          <w:b/>
          <w:lang w:val="en-US"/>
        </w:rPr>
        <w:t>Type B capability: Not closely coupled to hardware processing blocks, e.g. CSI calculation</w:t>
      </w:r>
    </w:p>
    <w:p w14:paraId="7C63813D" w14:textId="7EE4EDA8" w:rsidR="00005549" w:rsidRPr="00A54222" w:rsidRDefault="00005549" w:rsidP="00047B9A">
      <w:pPr>
        <w:pStyle w:val="ListParagraph"/>
        <w:numPr>
          <w:ilvl w:val="3"/>
          <w:numId w:val="6"/>
        </w:numPr>
        <w:spacing w:after="0"/>
        <w:rPr>
          <w:b/>
          <w:lang w:val="en-US"/>
        </w:rPr>
      </w:pPr>
      <w:r>
        <w:rPr>
          <w:b/>
          <w:lang w:val="en-US"/>
        </w:rPr>
        <w:t>T</w:t>
      </w:r>
      <w:r w:rsidRPr="00382A87">
        <w:rPr>
          <w:b/>
          <w:lang w:val="en-US"/>
        </w:rPr>
        <w:t>he</w:t>
      </w:r>
      <w:r>
        <w:rPr>
          <w:b/>
          <w:lang w:val="en-US"/>
        </w:rPr>
        <w:t>se</w:t>
      </w:r>
      <w:r w:rsidRPr="00382A87">
        <w:rPr>
          <w:b/>
          <w:lang w:val="en-US"/>
        </w:rPr>
        <w:t xml:space="preserve"> </w:t>
      </w:r>
      <w:r>
        <w:rPr>
          <w:b/>
          <w:lang w:val="en-US"/>
        </w:rPr>
        <w:t xml:space="preserve">capability parameters can be freely distributed across the CGs by UE configuration by the </w:t>
      </w:r>
      <w:proofErr w:type="spellStart"/>
      <w:r>
        <w:rPr>
          <w:b/>
          <w:lang w:val="en-US"/>
        </w:rPr>
        <w:t>gNB</w:t>
      </w:r>
      <w:proofErr w:type="spellEnd"/>
      <w:r>
        <w:rPr>
          <w:b/>
          <w:lang w:val="en-US"/>
        </w:rPr>
        <w:t>, same as in CA</w:t>
      </w:r>
      <w:r w:rsidR="002F3125">
        <w:rPr>
          <w:b/>
          <w:lang w:val="en-US"/>
        </w:rPr>
        <w:t xml:space="preserve"> </w:t>
      </w:r>
    </w:p>
    <w:bookmarkEnd w:id="4"/>
    <w:p w14:paraId="1CAAAE9C" w14:textId="72334277" w:rsidR="001B4360" w:rsidRPr="00005549" w:rsidRDefault="001B4360" w:rsidP="00005549">
      <w:pPr>
        <w:rPr>
          <w:b/>
          <w:lang w:val="en-US"/>
        </w:rPr>
      </w:pPr>
    </w:p>
    <w:p w14:paraId="10D17788" w14:textId="77777777" w:rsidR="00CB16FB" w:rsidRDefault="00CB16FB" w:rsidP="00047B9A">
      <w:pPr>
        <w:pStyle w:val="Heading1"/>
        <w:numPr>
          <w:ilvl w:val="0"/>
          <w:numId w:val="3"/>
        </w:numPr>
      </w:pPr>
      <w:r>
        <w:t>References</w:t>
      </w:r>
    </w:p>
    <w:p w14:paraId="34669EC1" w14:textId="4DF69102" w:rsidR="00EC0E9C" w:rsidRDefault="00AA2641" w:rsidP="00047B9A">
      <w:pPr>
        <w:numPr>
          <w:ilvl w:val="0"/>
          <w:numId w:val="4"/>
        </w:numPr>
        <w:textAlignment w:val="auto"/>
      </w:pPr>
      <w:bookmarkStart w:id="5" w:name="_Ref506580308"/>
      <w:r w:rsidRPr="00AA2641">
        <w:t>RP-182866</w:t>
      </w:r>
      <w:r w:rsidR="00FC7AD0">
        <w:t>, “NR UE feature</w:t>
      </w:r>
      <w:r>
        <w:t>s v6</w:t>
      </w:r>
      <w:r w:rsidR="00FC7AD0">
        <w:t>”, NTT DOCOMO</w:t>
      </w:r>
      <w:bookmarkEnd w:id="5"/>
    </w:p>
    <w:p w14:paraId="0725CFBF" w14:textId="7308085C" w:rsidR="00C76217" w:rsidRDefault="00C76217" w:rsidP="00047B9A">
      <w:pPr>
        <w:numPr>
          <w:ilvl w:val="0"/>
          <w:numId w:val="4"/>
        </w:numPr>
        <w:textAlignment w:val="auto"/>
      </w:pPr>
      <w:r>
        <w:t>R1-1903041, “</w:t>
      </w:r>
      <w:r w:rsidRPr="00C76217">
        <w:t>UE capabilities for NR-NR dual connectivity</w:t>
      </w:r>
      <w:r>
        <w:t>”, Qualcomm</w:t>
      </w:r>
    </w:p>
    <w:sectPr w:rsidR="00C76217"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FCCEF" w14:textId="77777777" w:rsidR="00823460" w:rsidRDefault="00823460">
      <w:r>
        <w:separator/>
      </w:r>
    </w:p>
    <w:p w14:paraId="5375B86D" w14:textId="77777777" w:rsidR="00823460" w:rsidRDefault="00823460"/>
  </w:endnote>
  <w:endnote w:type="continuationSeparator" w:id="0">
    <w:p w14:paraId="038C7321" w14:textId="77777777" w:rsidR="00823460" w:rsidRDefault="00823460">
      <w:r>
        <w:continuationSeparator/>
      </w:r>
    </w:p>
    <w:p w14:paraId="3E296665" w14:textId="77777777" w:rsidR="00823460" w:rsidRDefault="00823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FA0C9" w14:textId="77777777" w:rsidR="00823460" w:rsidRDefault="00823460">
      <w:r>
        <w:separator/>
      </w:r>
    </w:p>
    <w:p w14:paraId="10E7F0F6" w14:textId="77777777" w:rsidR="00823460" w:rsidRDefault="00823460"/>
  </w:footnote>
  <w:footnote w:type="continuationSeparator" w:id="0">
    <w:p w14:paraId="6D173AD4" w14:textId="77777777" w:rsidR="00823460" w:rsidRDefault="00823460">
      <w:r>
        <w:continuationSeparator/>
      </w:r>
    </w:p>
    <w:p w14:paraId="2F38C3ED" w14:textId="77777777" w:rsidR="00823460" w:rsidRDefault="00823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1D31730"/>
    <w:multiLevelType w:val="hybridMultilevel"/>
    <w:tmpl w:val="4FEC71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A52AFB"/>
    <w:multiLevelType w:val="hybridMultilevel"/>
    <w:tmpl w:val="485A0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61173B"/>
    <w:multiLevelType w:val="hybridMultilevel"/>
    <w:tmpl w:val="D1FA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C8750F"/>
    <w:multiLevelType w:val="multilevel"/>
    <w:tmpl w:val="91166550"/>
    <w:lvl w:ilvl="0">
      <w:start w:val="1"/>
      <w:numFmt w:val="decimal"/>
      <w:pStyle w:val="Heading1"/>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549"/>
    <w:rsid w:val="000058E9"/>
    <w:rsid w:val="000079F3"/>
    <w:rsid w:val="00010C7A"/>
    <w:rsid w:val="00011393"/>
    <w:rsid w:val="000114ED"/>
    <w:rsid w:val="00012171"/>
    <w:rsid w:val="00012946"/>
    <w:rsid w:val="000137AA"/>
    <w:rsid w:val="00013CB7"/>
    <w:rsid w:val="00015060"/>
    <w:rsid w:val="00024BA4"/>
    <w:rsid w:val="00025B5A"/>
    <w:rsid w:val="00025C47"/>
    <w:rsid w:val="00026135"/>
    <w:rsid w:val="00027CE5"/>
    <w:rsid w:val="00031410"/>
    <w:rsid w:val="00033A80"/>
    <w:rsid w:val="000376F2"/>
    <w:rsid w:val="00037D74"/>
    <w:rsid w:val="00037DEE"/>
    <w:rsid w:val="000410E6"/>
    <w:rsid w:val="00041AEA"/>
    <w:rsid w:val="00043549"/>
    <w:rsid w:val="00044681"/>
    <w:rsid w:val="00047B9A"/>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3EF1"/>
    <w:rsid w:val="000C50B2"/>
    <w:rsid w:val="000C58F8"/>
    <w:rsid w:val="000C6060"/>
    <w:rsid w:val="000C6AB1"/>
    <w:rsid w:val="000D0C9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2A43"/>
    <w:rsid w:val="001135DB"/>
    <w:rsid w:val="0011445E"/>
    <w:rsid w:val="00115117"/>
    <w:rsid w:val="00115365"/>
    <w:rsid w:val="00117C6A"/>
    <w:rsid w:val="00120023"/>
    <w:rsid w:val="00121013"/>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67B1"/>
    <w:rsid w:val="001C6F10"/>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20CD"/>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09D1"/>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3125"/>
    <w:rsid w:val="002F435E"/>
    <w:rsid w:val="002F55FC"/>
    <w:rsid w:val="002F6B41"/>
    <w:rsid w:val="0030016B"/>
    <w:rsid w:val="00301430"/>
    <w:rsid w:val="0030249D"/>
    <w:rsid w:val="003032DB"/>
    <w:rsid w:val="0030664C"/>
    <w:rsid w:val="003067DF"/>
    <w:rsid w:val="00310045"/>
    <w:rsid w:val="0031005D"/>
    <w:rsid w:val="00310256"/>
    <w:rsid w:val="003128DB"/>
    <w:rsid w:val="00312903"/>
    <w:rsid w:val="00312F4D"/>
    <w:rsid w:val="00314E97"/>
    <w:rsid w:val="00314F98"/>
    <w:rsid w:val="00315B1A"/>
    <w:rsid w:val="0031700E"/>
    <w:rsid w:val="003205F8"/>
    <w:rsid w:val="00320D4D"/>
    <w:rsid w:val="00321752"/>
    <w:rsid w:val="00321CCF"/>
    <w:rsid w:val="003228A7"/>
    <w:rsid w:val="00324730"/>
    <w:rsid w:val="00326667"/>
    <w:rsid w:val="003271CE"/>
    <w:rsid w:val="00331913"/>
    <w:rsid w:val="0033512F"/>
    <w:rsid w:val="0033589C"/>
    <w:rsid w:val="00337B03"/>
    <w:rsid w:val="00340D06"/>
    <w:rsid w:val="00341F45"/>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0484"/>
    <w:rsid w:val="00381433"/>
    <w:rsid w:val="00382A87"/>
    <w:rsid w:val="00382E93"/>
    <w:rsid w:val="0038476E"/>
    <w:rsid w:val="00386432"/>
    <w:rsid w:val="003867E3"/>
    <w:rsid w:val="00387164"/>
    <w:rsid w:val="00387B4A"/>
    <w:rsid w:val="00391744"/>
    <w:rsid w:val="0039227B"/>
    <w:rsid w:val="00393355"/>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BE9"/>
    <w:rsid w:val="003C1030"/>
    <w:rsid w:val="003C5ABA"/>
    <w:rsid w:val="003C6BF8"/>
    <w:rsid w:val="003D020F"/>
    <w:rsid w:val="003D03B0"/>
    <w:rsid w:val="003D1061"/>
    <w:rsid w:val="003D165C"/>
    <w:rsid w:val="003D23DE"/>
    <w:rsid w:val="003D2571"/>
    <w:rsid w:val="003D3DF0"/>
    <w:rsid w:val="003D410F"/>
    <w:rsid w:val="003D482F"/>
    <w:rsid w:val="003D4C34"/>
    <w:rsid w:val="003D5159"/>
    <w:rsid w:val="003D758B"/>
    <w:rsid w:val="003E124A"/>
    <w:rsid w:val="003E2BF5"/>
    <w:rsid w:val="003E517F"/>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27587"/>
    <w:rsid w:val="00430EE0"/>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6E1C"/>
    <w:rsid w:val="00493241"/>
    <w:rsid w:val="00493E44"/>
    <w:rsid w:val="004A0146"/>
    <w:rsid w:val="004A10E3"/>
    <w:rsid w:val="004A345B"/>
    <w:rsid w:val="004A39CE"/>
    <w:rsid w:val="004A3D98"/>
    <w:rsid w:val="004A6A9A"/>
    <w:rsid w:val="004A6EDC"/>
    <w:rsid w:val="004A705E"/>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141"/>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559A"/>
    <w:rsid w:val="0050667C"/>
    <w:rsid w:val="0051128C"/>
    <w:rsid w:val="00512760"/>
    <w:rsid w:val="0051290A"/>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539"/>
    <w:rsid w:val="0055152B"/>
    <w:rsid w:val="0055229C"/>
    <w:rsid w:val="00552C30"/>
    <w:rsid w:val="0055421D"/>
    <w:rsid w:val="00554D54"/>
    <w:rsid w:val="00562D63"/>
    <w:rsid w:val="005645C4"/>
    <w:rsid w:val="0056531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44E"/>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014"/>
    <w:rsid w:val="005C4B2A"/>
    <w:rsid w:val="005C4BA8"/>
    <w:rsid w:val="005C690B"/>
    <w:rsid w:val="005D1ACB"/>
    <w:rsid w:val="005D5640"/>
    <w:rsid w:val="005D7699"/>
    <w:rsid w:val="005E2136"/>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2BFE"/>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4A9"/>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9CA"/>
    <w:rsid w:val="006B1E23"/>
    <w:rsid w:val="006B38B9"/>
    <w:rsid w:val="006B4670"/>
    <w:rsid w:val="006C2A89"/>
    <w:rsid w:val="006C2AC8"/>
    <w:rsid w:val="006C4656"/>
    <w:rsid w:val="006C52F9"/>
    <w:rsid w:val="006C60CF"/>
    <w:rsid w:val="006C7786"/>
    <w:rsid w:val="006D04FF"/>
    <w:rsid w:val="006D2FCE"/>
    <w:rsid w:val="006D3016"/>
    <w:rsid w:val="006D3FC1"/>
    <w:rsid w:val="006D5D8D"/>
    <w:rsid w:val="006D5E48"/>
    <w:rsid w:val="006E131C"/>
    <w:rsid w:val="006E1427"/>
    <w:rsid w:val="006E5655"/>
    <w:rsid w:val="006E6479"/>
    <w:rsid w:val="006E650B"/>
    <w:rsid w:val="006F107E"/>
    <w:rsid w:val="006F18EC"/>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E47"/>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3627"/>
    <w:rsid w:val="00733760"/>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3BD3"/>
    <w:rsid w:val="007662D6"/>
    <w:rsid w:val="00766747"/>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55D3"/>
    <w:rsid w:val="00796690"/>
    <w:rsid w:val="007A180C"/>
    <w:rsid w:val="007A1E30"/>
    <w:rsid w:val="007A1E71"/>
    <w:rsid w:val="007A3469"/>
    <w:rsid w:val="007A64B9"/>
    <w:rsid w:val="007B0C23"/>
    <w:rsid w:val="007B227C"/>
    <w:rsid w:val="007B5E20"/>
    <w:rsid w:val="007C022E"/>
    <w:rsid w:val="007C58F6"/>
    <w:rsid w:val="007C5AAD"/>
    <w:rsid w:val="007C6518"/>
    <w:rsid w:val="007C66C6"/>
    <w:rsid w:val="007C6F5B"/>
    <w:rsid w:val="007D13B3"/>
    <w:rsid w:val="007D356D"/>
    <w:rsid w:val="007D69B9"/>
    <w:rsid w:val="007D76A6"/>
    <w:rsid w:val="007E56A5"/>
    <w:rsid w:val="007E5D39"/>
    <w:rsid w:val="007E67BD"/>
    <w:rsid w:val="007F37DA"/>
    <w:rsid w:val="007F4ADA"/>
    <w:rsid w:val="007F6EA5"/>
    <w:rsid w:val="00800910"/>
    <w:rsid w:val="00800C28"/>
    <w:rsid w:val="00800E63"/>
    <w:rsid w:val="008018EB"/>
    <w:rsid w:val="0080281E"/>
    <w:rsid w:val="00803278"/>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460"/>
    <w:rsid w:val="008258E0"/>
    <w:rsid w:val="00830EE4"/>
    <w:rsid w:val="008326C1"/>
    <w:rsid w:val="00832B8C"/>
    <w:rsid w:val="00832C72"/>
    <w:rsid w:val="00832C9A"/>
    <w:rsid w:val="0083534D"/>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815"/>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1975"/>
    <w:rsid w:val="008E31E4"/>
    <w:rsid w:val="008E3795"/>
    <w:rsid w:val="008E50BA"/>
    <w:rsid w:val="008E5B8C"/>
    <w:rsid w:val="008E6351"/>
    <w:rsid w:val="008F0C6F"/>
    <w:rsid w:val="008F4D84"/>
    <w:rsid w:val="008F4E00"/>
    <w:rsid w:val="008F57BB"/>
    <w:rsid w:val="008F64C9"/>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550D"/>
    <w:rsid w:val="00986811"/>
    <w:rsid w:val="00990506"/>
    <w:rsid w:val="009911C9"/>
    <w:rsid w:val="009912E5"/>
    <w:rsid w:val="00991471"/>
    <w:rsid w:val="00992F88"/>
    <w:rsid w:val="00993AE5"/>
    <w:rsid w:val="009960F8"/>
    <w:rsid w:val="009967BB"/>
    <w:rsid w:val="00996A61"/>
    <w:rsid w:val="00997D37"/>
    <w:rsid w:val="009A0B44"/>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E8F"/>
    <w:rsid w:val="009D3F08"/>
    <w:rsid w:val="009D46B4"/>
    <w:rsid w:val="009D49E8"/>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29F5"/>
    <w:rsid w:val="00A169D1"/>
    <w:rsid w:val="00A17558"/>
    <w:rsid w:val="00A177ED"/>
    <w:rsid w:val="00A17E46"/>
    <w:rsid w:val="00A20D20"/>
    <w:rsid w:val="00A21759"/>
    <w:rsid w:val="00A223DA"/>
    <w:rsid w:val="00A23C09"/>
    <w:rsid w:val="00A241DE"/>
    <w:rsid w:val="00A2545F"/>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4222"/>
    <w:rsid w:val="00A555CB"/>
    <w:rsid w:val="00A57663"/>
    <w:rsid w:val="00A57B09"/>
    <w:rsid w:val="00A57DD8"/>
    <w:rsid w:val="00A6025B"/>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641"/>
    <w:rsid w:val="00AA2A29"/>
    <w:rsid w:val="00AA37B0"/>
    <w:rsid w:val="00AA38AC"/>
    <w:rsid w:val="00AA3937"/>
    <w:rsid w:val="00AA4579"/>
    <w:rsid w:val="00AA46D3"/>
    <w:rsid w:val="00AA4A2C"/>
    <w:rsid w:val="00AA6B62"/>
    <w:rsid w:val="00AB181B"/>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1C9F"/>
    <w:rsid w:val="00AF20B9"/>
    <w:rsid w:val="00AF4A74"/>
    <w:rsid w:val="00AF4F2A"/>
    <w:rsid w:val="00AF7CB3"/>
    <w:rsid w:val="00B02DFA"/>
    <w:rsid w:val="00B03548"/>
    <w:rsid w:val="00B03EE8"/>
    <w:rsid w:val="00B04587"/>
    <w:rsid w:val="00B04887"/>
    <w:rsid w:val="00B05907"/>
    <w:rsid w:val="00B05961"/>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5419"/>
    <w:rsid w:val="00B6667F"/>
    <w:rsid w:val="00B70CA0"/>
    <w:rsid w:val="00B717D4"/>
    <w:rsid w:val="00B737D9"/>
    <w:rsid w:val="00B75698"/>
    <w:rsid w:val="00B756B3"/>
    <w:rsid w:val="00B76D83"/>
    <w:rsid w:val="00B80929"/>
    <w:rsid w:val="00B80CBD"/>
    <w:rsid w:val="00B818AB"/>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75D3"/>
    <w:rsid w:val="00BC2B3A"/>
    <w:rsid w:val="00BC2E95"/>
    <w:rsid w:val="00BC47E4"/>
    <w:rsid w:val="00BC590B"/>
    <w:rsid w:val="00BC5A13"/>
    <w:rsid w:val="00BD1218"/>
    <w:rsid w:val="00BD1480"/>
    <w:rsid w:val="00BD1669"/>
    <w:rsid w:val="00BD1A62"/>
    <w:rsid w:val="00BD3480"/>
    <w:rsid w:val="00BD36DA"/>
    <w:rsid w:val="00BD3930"/>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217"/>
    <w:rsid w:val="00C76CF3"/>
    <w:rsid w:val="00C770F5"/>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2AE4"/>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8AC"/>
    <w:rsid w:val="00D32CC8"/>
    <w:rsid w:val="00D35A73"/>
    <w:rsid w:val="00D35EC6"/>
    <w:rsid w:val="00D3685E"/>
    <w:rsid w:val="00D36F2A"/>
    <w:rsid w:val="00D37584"/>
    <w:rsid w:val="00D41AD7"/>
    <w:rsid w:val="00D424D8"/>
    <w:rsid w:val="00D42AF2"/>
    <w:rsid w:val="00D441FB"/>
    <w:rsid w:val="00D446CE"/>
    <w:rsid w:val="00D4566E"/>
    <w:rsid w:val="00D459FF"/>
    <w:rsid w:val="00D516BB"/>
    <w:rsid w:val="00D51A32"/>
    <w:rsid w:val="00D51A5D"/>
    <w:rsid w:val="00D53B2B"/>
    <w:rsid w:val="00D557CC"/>
    <w:rsid w:val="00D55D79"/>
    <w:rsid w:val="00D57E74"/>
    <w:rsid w:val="00D64B7F"/>
    <w:rsid w:val="00D64E10"/>
    <w:rsid w:val="00D64E59"/>
    <w:rsid w:val="00D6564F"/>
    <w:rsid w:val="00D675C3"/>
    <w:rsid w:val="00D67DAB"/>
    <w:rsid w:val="00D70FFF"/>
    <w:rsid w:val="00D738C4"/>
    <w:rsid w:val="00D74908"/>
    <w:rsid w:val="00D761F2"/>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5CE"/>
    <w:rsid w:val="00DD4F99"/>
    <w:rsid w:val="00DD5160"/>
    <w:rsid w:val="00DD7F99"/>
    <w:rsid w:val="00DE22A8"/>
    <w:rsid w:val="00DE6309"/>
    <w:rsid w:val="00DE69B3"/>
    <w:rsid w:val="00DF04C6"/>
    <w:rsid w:val="00DF1735"/>
    <w:rsid w:val="00DF23C9"/>
    <w:rsid w:val="00DF2DC5"/>
    <w:rsid w:val="00DF38D0"/>
    <w:rsid w:val="00DF5222"/>
    <w:rsid w:val="00DF7132"/>
    <w:rsid w:val="00DF74C8"/>
    <w:rsid w:val="00E01B0F"/>
    <w:rsid w:val="00E02A52"/>
    <w:rsid w:val="00E037C3"/>
    <w:rsid w:val="00E03DAB"/>
    <w:rsid w:val="00E0425D"/>
    <w:rsid w:val="00E072D4"/>
    <w:rsid w:val="00E07E92"/>
    <w:rsid w:val="00E10F24"/>
    <w:rsid w:val="00E116C4"/>
    <w:rsid w:val="00E119DA"/>
    <w:rsid w:val="00E120E5"/>
    <w:rsid w:val="00E12B98"/>
    <w:rsid w:val="00E12E8B"/>
    <w:rsid w:val="00E14BDF"/>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4710E"/>
    <w:rsid w:val="00E47854"/>
    <w:rsid w:val="00E50EA1"/>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57A8"/>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0E9C"/>
    <w:rsid w:val="00EC505E"/>
    <w:rsid w:val="00EC52AA"/>
    <w:rsid w:val="00EC6080"/>
    <w:rsid w:val="00EC626B"/>
    <w:rsid w:val="00EC68F9"/>
    <w:rsid w:val="00EC7201"/>
    <w:rsid w:val="00ED0CE0"/>
    <w:rsid w:val="00ED10A0"/>
    <w:rsid w:val="00ED10FE"/>
    <w:rsid w:val="00ED1839"/>
    <w:rsid w:val="00ED1C78"/>
    <w:rsid w:val="00ED36C6"/>
    <w:rsid w:val="00ED4B9E"/>
    <w:rsid w:val="00ED64AC"/>
    <w:rsid w:val="00EE0609"/>
    <w:rsid w:val="00EE0678"/>
    <w:rsid w:val="00EE209A"/>
    <w:rsid w:val="00EE2744"/>
    <w:rsid w:val="00EE2DEF"/>
    <w:rsid w:val="00EE31DA"/>
    <w:rsid w:val="00EE36BF"/>
    <w:rsid w:val="00EE3E3E"/>
    <w:rsid w:val="00EF0A57"/>
    <w:rsid w:val="00EF190F"/>
    <w:rsid w:val="00EF2478"/>
    <w:rsid w:val="00EF2DDE"/>
    <w:rsid w:val="00EF3A1E"/>
    <w:rsid w:val="00EF53B5"/>
    <w:rsid w:val="00EF59B5"/>
    <w:rsid w:val="00EF5FFA"/>
    <w:rsid w:val="00F006DC"/>
    <w:rsid w:val="00F01D9E"/>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F24"/>
    <w:rsid w:val="00F42FF5"/>
    <w:rsid w:val="00F4475C"/>
    <w:rsid w:val="00F461ED"/>
    <w:rsid w:val="00F46810"/>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270E"/>
    <w:rsid w:val="00F62C79"/>
    <w:rsid w:val="00F64C8F"/>
    <w:rsid w:val="00F6507B"/>
    <w:rsid w:val="00F65298"/>
    <w:rsid w:val="00F65AE0"/>
    <w:rsid w:val="00F65DF3"/>
    <w:rsid w:val="00F668D2"/>
    <w:rsid w:val="00F66DC1"/>
    <w:rsid w:val="00F73C1E"/>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 w:val="00FF70E4"/>
    <w:rsid w:val="00FF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33512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2"/>
      </w:numPr>
      <w:outlineLvl w:val="5"/>
    </w:pPr>
    <w:rPr>
      <w:b w:val="0"/>
      <w:sz w:val="20"/>
    </w:rPr>
  </w:style>
  <w:style w:type="paragraph" w:styleId="Heading7">
    <w:name w:val="heading 7"/>
    <w:basedOn w:val="H6"/>
    <w:next w:val="Normal"/>
    <w:qFormat/>
    <w:pPr>
      <w:numPr>
        <w:ilvl w:val="6"/>
        <w:numId w:val="2"/>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25796038">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35842077">
      <w:bodyDiv w:val="1"/>
      <w:marLeft w:val="0"/>
      <w:marRight w:val="0"/>
      <w:marTop w:val="0"/>
      <w:marBottom w:val="0"/>
      <w:divBdr>
        <w:top w:val="none" w:sz="0" w:space="0" w:color="auto"/>
        <w:left w:val="none" w:sz="0" w:space="0" w:color="auto"/>
        <w:bottom w:val="none" w:sz="0" w:space="0" w:color="auto"/>
        <w:right w:val="none" w:sz="0" w:space="0" w:color="auto"/>
      </w:divBdr>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29E5543A-09BF-42E9-ACFA-9AEEB7D2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57</cp:revision>
  <cp:lastPrinted>2003-09-26T18:29:00Z</cp:lastPrinted>
  <dcterms:created xsi:type="dcterms:W3CDTF">2018-08-23T12:14:00Z</dcterms:created>
  <dcterms:modified xsi:type="dcterms:W3CDTF">2019-03-30T04:51:00Z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